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CCC" w:rsidRDefault="002E1A55">
      <w:pPr>
        <w:pStyle w:val="TytuS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D-04.03.01.</w:t>
      </w:r>
      <w:r>
        <w:rPr>
          <w:rFonts w:ascii="Tahoma" w:hAnsi="Tahoma" w:cs="Tahoma"/>
          <w:sz w:val="20"/>
          <w:szCs w:val="20"/>
        </w:rPr>
        <w:tab/>
        <w:t>oczyszczenie i skropienie warstw konstrukcyjnych</w:t>
      </w:r>
    </w:p>
    <w:p w:rsidR="00E31CCC" w:rsidRDefault="002E1A55">
      <w:pPr>
        <w:pStyle w:val="Nagwek11"/>
        <w:numPr>
          <w:ilvl w:val="0"/>
          <w:numId w:val="2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WSTĘP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Przedmiot STWiORB </w:t>
      </w:r>
    </w:p>
    <w:p w:rsidR="00E31CCC" w:rsidRDefault="002E1A55">
      <w:pPr>
        <w:rPr>
          <w:rFonts w:ascii="Tahoma" w:hAnsi="Tahoma" w:cs="Tahoma"/>
          <w:bCs w:val="0"/>
          <w:iCs w:val="0"/>
          <w:sz w:val="20"/>
          <w:szCs w:val="20"/>
        </w:rPr>
      </w:pPr>
      <w:r>
        <w:rPr>
          <w:rFonts w:ascii="Tahoma" w:hAnsi="Tahoma" w:cs="Tahoma"/>
          <w:spacing w:val="-2"/>
          <w:sz w:val="20"/>
          <w:szCs w:val="20"/>
        </w:rPr>
        <w:t>P</w:t>
      </w:r>
      <w:r>
        <w:rPr>
          <w:rFonts w:ascii="Tahoma" w:hAnsi="Tahoma" w:cs="Tahoma"/>
          <w:sz w:val="20"/>
          <w:szCs w:val="20"/>
        </w:rPr>
        <w:t>r</w:t>
      </w:r>
      <w:r>
        <w:rPr>
          <w:rFonts w:ascii="Tahoma" w:hAnsi="Tahoma" w:cs="Tahoma"/>
          <w:spacing w:val="-5"/>
          <w:sz w:val="20"/>
          <w:szCs w:val="20"/>
        </w:rPr>
        <w:t>ze</w:t>
      </w:r>
      <w:r>
        <w:rPr>
          <w:rFonts w:ascii="Tahoma" w:hAnsi="Tahoma" w:cs="Tahoma"/>
          <w:spacing w:val="-1"/>
          <w:sz w:val="20"/>
          <w:szCs w:val="20"/>
        </w:rPr>
        <w:t>d</w:t>
      </w:r>
      <w:r>
        <w:rPr>
          <w:rFonts w:ascii="Tahoma" w:hAnsi="Tahoma" w:cs="Tahoma"/>
          <w:spacing w:val="7"/>
          <w:sz w:val="20"/>
          <w:szCs w:val="20"/>
        </w:rPr>
        <w:t>m</w:t>
      </w:r>
      <w:r>
        <w:rPr>
          <w:rFonts w:ascii="Tahoma" w:hAnsi="Tahoma" w:cs="Tahoma"/>
          <w:spacing w:val="-2"/>
          <w:sz w:val="20"/>
          <w:szCs w:val="20"/>
        </w:rPr>
        <w:t>i</w:t>
      </w:r>
      <w:r>
        <w:rPr>
          <w:rFonts w:ascii="Tahoma" w:hAnsi="Tahoma" w:cs="Tahoma"/>
          <w:spacing w:val="-1"/>
          <w:sz w:val="20"/>
          <w:szCs w:val="20"/>
        </w:rPr>
        <w:t>o</w:t>
      </w:r>
      <w:r>
        <w:rPr>
          <w:rFonts w:ascii="Tahoma" w:hAnsi="Tahoma" w:cs="Tahoma"/>
          <w:sz w:val="20"/>
          <w:szCs w:val="20"/>
        </w:rPr>
        <w:t>t</w:t>
      </w:r>
      <w:r>
        <w:rPr>
          <w:rFonts w:ascii="Tahoma" w:hAnsi="Tahoma" w:cs="Tahoma"/>
          <w:spacing w:val="-10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m</w:t>
      </w:r>
      <w:r>
        <w:rPr>
          <w:rFonts w:ascii="Tahoma" w:hAnsi="Tahoma" w:cs="Tahoma"/>
          <w:spacing w:val="38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niniejszej Specyfikacji Technicznej Wykonania i Odbioru Robót Budowlanych są</w:t>
      </w:r>
      <w:r>
        <w:rPr>
          <w:rFonts w:ascii="Tahoma" w:hAnsi="Tahoma" w:cs="Tahoma"/>
          <w:spacing w:val="26"/>
          <w:sz w:val="20"/>
          <w:szCs w:val="20"/>
        </w:rPr>
        <w:t xml:space="preserve"> </w:t>
      </w:r>
      <w:r>
        <w:rPr>
          <w:rFonts w:ascii="Tahoma" w:hAnsi="Tahoma" w:cs="Tahoma"/>
          <w:spacing w:val="-2"/>
          <w:sz w:val="20"/>
          <w:szCs w:val="20"/>
        </w:rPr>
        <w:t>w</w:t>
      </w:r>
      <w:r>
        <w:rPr>
          <w:rFonts w:ascii="Tahoma" w:hAnsi="Tahoma" w:cs="Tahoma"/>
          <w:spacing w:val="-5"/>
          <w:sz w:val="20"/>
          <w:szCs w:val="20"/>
        </w:rPr>
        <w:t>y</w:t>
      </w:r>
      <w:r>
        <w:rPr>
          <w:rFonts w:ascii="Tahoma" w:hAnsi="Tahoma" w:cs="Tahoma"/>
          <w:sz w:val="20"/>
          <w:szCs w:val="20"/>
        </w:rPr>
        <w:t>m</w:t>
      </w:r>
      <w:r>
        <w:rPr>
          <w:rFonts w:ascii="Tahoma" w:hAnsi="Tahoma" w:cs="Tahoma"/>
          <w:spacing w:val="-1"/>
          <w:sz w:val="20"/>
          <w:szCs w:val="20"/>
        </w:rPr>
        <w:t>ag</w:t>
      </w:r>
      <w:r>
        <w:rPr>
          <w:rFonts w:ascii="Tahoma" w:hAnsi="Tahoma" w:cs="Tahoma"/>
          <w:spacing w:val="-5"/>
          <w:sz w:val="20"/>
          <w:szCs w:val="20"/>
        </w:rPr>
        <w:t>a</w:t>
      </w:r>
      <w:r>
        <w:rPr>
          <w:rFonts w:ascii="Tahoma" w:hAnsi="Tahoma" w:cs="Tahoma"/>
          <w:spacing w:val="-1"/>
          <w:sz w:val="20"/>
          <w:szCs w:val="20"/>
        </w:rPr>
        <w:t>n</w:t>
      </w:r>
      <w:r>
        <w:rPr>
          <w:rFonts w:ascii="Tahoma" w:hAnsi="Tahoma" w:cs="Tahoma"/>
          <w:spacing w:val="3"/>
          <w:sz w:val="20"/>
          <w:szCs w:val="20"/>
        </w:rPr>
        <w:t>i</w:t>
      </w:r>
      <w:r>
        <w:rPr>
          <w:rFonts w:ascii="Tahoma" w:hAnsi="Tahoma" w:cs="Tahoma"/>
          <w:sz w:val="20"/>
          <w:szCs w:val="20"/>
        </w:rPr>
        <w:t>a</w:t>
      </w:r>
      <w:r>
        <w:rPr>
          <w:rFonts w:ascii="Tahoma" w:hAnsi="Tahoma" w:cs="Tahoma"/>
          <w:spacing w:val="30"/>
          <w:sz w:val="20"/>
          <w:szCs w:val="20"/>
        </w:rPr>
        <w:t xml:space="preserve"> </w:t>
      </w:r>
      <w:r>
        <w:rPr>
          <w:rFonts w:ascii="Tahoma" w:hAnsi="Tahoma" w:cs="Tahoma"/>
          <w:spacing w:val="-1"/>
          <w:sz w:val="20"/>
          <w:szCs w:val="20"/>
        </w:rPr>
        <w:t>do</w:t>
      </w:r>
      <w:r>
        <w:rPr>
          <w:rFonts w:ascii="Tahoma" w:hAnsi="Tahoma" w:cs="Tahoma"/>
          <w:sz w:val="20"/>
          <w:szCs w:val="20"/>
        </w:rPr>
        <w:t>t</w:t>
      </w:r>
      <w:r>
        <w:rPr>
          <w:rFonts w:ascii="Tahoma" w:hAnsi="Tahoma" w:cs="Tahoma"/>
          <w:spacing w:val="-5"/>
          <w:sz w:val="20"/>
          <w:szCs w:val="20"/>
        </w:rPr>
        <w:t>y</w:t>
      </w:r>
      <w:r>
        <w:rPr>
          <w:rFonts w:ascii="Tahoma" w:hAnsi="Tahoma" w:cs="Tahoma"/>
          <w:sz w:val="20"/>
          <w:szCs w:val="20"/>
        </w:rPr>
        <w:t>c</w:t>
      </w:r>
      <w:r>
        <w:rPr>
          <w:rFonts w:ascii="Tahoma" w:hAnsi="Tahoma" w:cs="Tahoma"/>
          <w:spacing w:val="-5"/>
          <w:sz w:val="20"/>
          <w:szCs w:val="20"/>
        </w:rPr>
        <w:t>z</w:t>
      </w:r>
      <w:r>
        <w:rPr>
          <w:rFonts w:ascii="Tahoma" w:hAnsi="Tahoma" w:cs="Tahoma"/>
          <w:spacing w:val="-1"/>
          <w:sz w:val="20"/>
          <w:szCs w:val="20"/>
        </w:rPr>
        <w:t>ą</w:t>
      </w:r>
      <w:r>
        <w:rPr>
          <w:rFonts w:ascii="Tahoma" w:hAnsi="Tahoma" w:cs="Tahoma"/>
          <w:sz w:val="20"/>
          <w:szCs w:val="20"/>
        </w:rPr>
        <w:t>ce</w:t>
      </w:r>
      <w:r>
        <w:rPr>
          <w:rFonts w:ascii="Tahoma" w:hAnsi="Tahoma" w:cs="Tahoma"/>
          <w:spacing w:val="29"/>
          <w:sz w:val="20"/>
          <w:szCs w:val="20"/>
        </w:rPr>
        <w:t xml:space="preserve"> </w:t>
      </w:r>
      <w:r>
        <w:rPr>
          <w:rFonts w:ascii="Tahoma" w:hAnsi="Tahoma" w:cs="Tahoma"/>
          <w:spacing w:val="-2"/>
          <w:sz w:val="20"/>
          <w:szCs w:val="20"/>
        </w:rPr>
        <w:t>w</w:t>
      </w:r>
      <w:r>
        <w:rPr>
          <w:rFonts w:ascii="Tahoma" w:hAnsi="Tahoma" w:cs="Tahoma"/>
          <w:sz w:val="20"/>
          <w:szCs w:val="20"/>
        </w:rPr>
        <w:t>yk</w:t>
      </w:r>
      <w:r>
        <w:rPr>
          <w:rFonts w:ascii="Tahoma" w:hAnsi="Tahoma" w:cs="Tahoma"/>
          <w:spacing w:val="-1"/>
          <w:sz w:val="20"/>
          <w:szCs w:val="20"/>
        </w:rPr>
        <w:t>ona</w:t>
      </w:r>
      <w:r>
        <w:rPr>
          <w:rFonts w:ascii="Tahoma" w:hAnsi="Tahoma" w:cs="Tahoma"/>
          <w:spacing w:val="-5"/>
          <w:sz w:val="20"/>
          <w:szCs w:val="20"/>
        </w:rPr>
        <w:t>n</w:t>
      </w:r>
      <w:r>
        <w:rPr>
          <w:rFonts w:ascii="Tahoma" w:hAnsi="Tahoma" w:cs="Tahoma"/>
          <w:spacing w:val="3"/>
          <w:sz w:val="20"/>
          <w:szCs w:val="20"/>
        </w:rPr>
        <w:t>i</w:t>
      </w:r>
      <w:r>
        <w:rPr>
          <w:rFonts w:ascii="Tahoma" w:hAnsi="Tahoma" w:cs="Tahoma"/>
          <w:sz w:val="20"/>
          <w:szCs w:val="20"/>
        </w:rPr>
        <w:t>a</w:t>
      </w:r>
      <w:r>
        <w:rPr>
          <w:rFonts w:ascii="Tahoma" w:hAnsi="Tahoma" w:cs="Tahoma"/>
          <w:spacing w:val="29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i </w:t>
      </w:r>
      <w:r>
        <w:rPr>
          <w:rFonts w:ascii="Tahoma" w:hAnsi="Tahoma" w:cs="Tahoma"/>
          <w:spacing w:val="-1"/>
          <w:sz w:val="20"/>
          <w:szCs w:val="20"/>
        </w:rPr>
        <w:t>od</w:t>
      </w:r>
      <w:r>
        <w:rPr>
          <w:rFonts w:ascii="Tahoma" w:hAnsi="Tahoma" w:cs="Tahoma"/>
          <w:spacing w:val="-5"/>
          <w:sz w:val="20"/>
          <w:szCs w:val="20"/>
        </w:rPr>
        <w:t>b</w:t>
      </w:r>
      <w:r>
        <w:rPr>
          <w:rFonts w:ascii="Tahoma" w:hAnsi="Tahoma" w:cs="Tahoma"/>
          <w:spacing w:val="3"/>
          <w:sz w:val="20"/>
          <w:szCs w:val="20"/>
        </w:rPr>
        <w:t>i</w:t>
      </w:r>
      <w:r>
        <w:rPr>
          <w:rFonts w:ascii="Tahoma" w:hAnsi="Tahoma" w:cs="Tahoma"/>
          <w:spacing w:val="-1"/>
          <w:sz w:val="20"/>
          <w:szCs w:val="20"/>
        </w:rPr>
        <w:t>o</w:t>
      </w:r>
      <w:r>
        <w:rPr>
          <w:rFonts w:ascii="Tahoma" w:hAnsi="Tahoma" w:cs="Tahoma"/>
          <w:sz w:val="20"/>
          <w:szCs w:val="20"/>
        </w:rPr>
        <w:t>ru</w:t>
      </w:r>
      <w:r>
        <w:rPr>
          <w:rFonts w:ascii="Tahoma" w:hAnsi="Tahoma" w:cs="Tahoma"/>
          <w:spacing w:val="27"/>
          <w:sz w:val="20"/>
          <w:szCs w:val="20"/>
        </w:rPr>
        <w:t xml:space="preserve"> </w:t>
      </w:r>
      <w:r>
        <w:rPr>
          <w:rFonts w:ascii="Tahoma" w:hAnsi="Tahoma" w:cs="Tahoma"/>
          <w:spacing w:val="-2"/>
          <w:sz w:val="20"/>
          <w:szCs w:val="20"/>
        </w:rPr>
        <w:t>R</w:t>
      </w:r>
      <w:r>
        <w:rPr>
          <w:rFonts w:ascii="Tahoma" w:hAnsi="Tahoma" w:cs="Tahoma"/>
          <w:spacing w:val="-1"/>
          <w:sz w:val="20"/>
          <w:szCs w:val="20"/>
        </w:rPr>
        <w:t>ob</w:t>
      </w:r>
      <w:r>
        <w:rPr>
          <w:rFonts w:ascii="Tahoma" w:hAnsi="Tahoma" w:cs="Tahoma"/>
          <w:spacing w:val="-5"/>
          <w:sz w:val="20"/>
          <w:szCs w:val="20"/>
        </w:rPr>
        <w:t>ó</w:t>
      </w:r>
      <w:r>
        <w:rPr>
          <w:rFonts w:ascii="Tahoma" w:hAnsi="Tahoma" w:cs="Tahoma"/>
          <w:sz w:val="20"/>
          <w:szCs w:val="20"/>
        </w:rPr>
        <w:t>t</w:t>
      </w:r>
      <w:r>
        <w:rPr>
          <w:rFonts w:ascii="Tahoma" w:hAnsi="Tahoma" w:cs="Tahoma"/>
          <w:spacing w:val="32"/>
          <w:sz w:val="20"/>
          <w:szCs w:val="20"/>
        </w:rPr>
        <w:t xml:space="preserve"> </w:t>
      </w:r>
      <w:r>
        <w:rPr>
          <w:rFonts w:ascii="Tahoma" w:hAnsi="Tahoma" w:cs="Tahoma"/>
          <w:spacing w:val="-1"/>
          <w:w w:val="101"/>
          <w:sz w:val="20"/>
          <w:szCs w:val="20"/>
        </w:rPr>
        <w:t>b</w:t>
      </w:r>
      <w:r>
        <w:rPr>
          <w:rFonts w:ascii="Tahoma" w:hAnsi="Tahoma" w:cs="Tahoma"/>
          <w:spacing w:val="-5"/>
          <w:w w:val="101"/>
          <w:sz w:val="20"/>
          <w:szCs w:val="20"/>
        </w:rPr>
        <w:t>u</w:t>
      </w:r>
      <w:r>
        <w:rPr>
          <w:rFonts w:ascii="Tahoma" w:hAnsi="Tahoma" w:cs="Tahoma"/>
          <w:spacing w:val="-1"/>
          <w:w w:val="101"/>
          <w:sz w:val="20"/>
          <w:szCs w:val="20"/>
        </w:rPr>
        <w:t>do</w:t>
      </w:r>
      <w:r>
        <w:rPr>
          <w:rFonts w:ascii="Tahoma" w:hAnsi="Tahoma" w:cs="Tahoma"/>
          <w:spacing w:val="-2"/>
          <w:w w:val="101"/>
          <w:sz w:val="20"/>
          <w:szCs w:val="20"/>
        </w:rPr>
        <w:t>w</w:t>
      </w:r>
      <w:r>
        <w:rPr>
          <w:rFonts w:ascii="Tahoma" w:hAnsi="Tahoma" w:cs="Tahoma"/>
          <w:spacing w:val="3"/>
          <w:w w:val="101"/>
          <w:sz w:val="20"/>
          <w:szCs w:val="20"/>
        </w:rPr>
        <w:t>l</w:t>
      </w:r>
      <w:r>
        <w:rPr>
          <w:rFonts w:ascii="Tahoma" w:hAnsi="Tahoma" w:cs="Tahoma"/>
          <w:spacing w:val="-5"/>
          <w:w w:val="101"/>
          <w:sz w:val="20"/>
          <w:szCs w:val="20"/>
        </w:rPr>
        <w:t>a</w:t>
      </w:r>
      <w:r>
        <w:rPr>
          <w:rFonts w:ascii="Tahoma" w:hAnsi="Tahoma" w:cs="Tahoma"/>
          <w:spacing w:val="-1"/>
          <w:w w:val="101"/>
          <w:sz w:val="20"/>
          <w:szCs w:val="20"/>
        </w:rPr>
        <w:t>n</w:t>
      </w:r>
      <w:r>
        <w:rPr>
          <w:rFonts w:ascii="Tahoma" w:hAnsi="Tahoma" w:cs="Tahoma"/>
          <w:w w:val="101"/>
          <w:sz w:val="20"/>
          <w:szCs w:val="20"/>
        </w:rPr>
        <w:t xml:space="preserve">ych </w:t>
      </w:r>
      <w:r>
        <w:rPr>
          <w:rFonts w:ascii="Tahoma" w:hAnsi="Tahoma" w:cs="Tahoma"/>
          <w:spacing w:val="-5"/>
          <w:sz w:val="20"/>
          <w:szCs w:val="20"/>
        </w:rPr>
        <w:t>z</w:t>
      </w:r>
      <w:r>
        <w:rPr>
          <w:rFonts w:ascii="Tahoma" w:hAnsi="Tahoma" w:cs="Tahoma"/>
          <w:spacing w:val="-2"/>
          <w:sz w:val="20"/>
          <w:szCs w:val="20"/>
        </w:rPr>
        <w:t>w</w:t>
      </w:r>
      <w:r>
        <w:rPr>
          <w:rFonts w:ascii="Tahoma" w:hAnsi="Tahoma" w:cs="Tahoma"/>
          <w:spacing w:val="3"/>
          <w:sz w:val="20"/>
          <w:szCs w:val="20"/>
        </w:rPr>
        <w:t>i</w:t>
      </w:r>
      <w:r>
        <w:rPr>
          <w:rFonts w:ascii="Tahoma" w:hAnsi="Tahoma" w:cs="Tahoma"/>
          <w:spacing w:val="-1"/>
          <w:sz w:val="20"/>
          <w:szCs w:val="20"/>
        </w:rPr>
        <w:t>ą</w:t>
      </w:r>
      <w:r>
        <w:rPr>
          <w:rFonts w:ascii="Tahoma" w:hAnsi="Tahoma" w:cs="Tahoma"/>
          <w:spacing w:val="-5"/>
          <w:sz w:val="20"/>
          <w:szCs w:val="20"/>
        </w:rPr>
        <w:t>z</w:t>
      </w:r>
      <w:r>
        <w:rPr>
          <w:rFonts w:ascii="Tahoma" w:hAnsi="Tahoma" w:cs="Tahoma"/>
          <w:spacing w:val="-1"/>
          <w:sz w:val="20"/>
          <w:szCs w:val="20"/>
        </w:rPr>
        <w:t>an</w:t>
      </w:r>
      <w:r>
        <w:rPr>
          <w:rFonts w:ascii="Tahoma" w:hAnsi="Tahoma" w:cs="Tahoma"/>
          <w:sz w:val="20"/>
          <w:szCs w:val="20"/>
        </w:rPr>
        <w:t>ych</w:t>
      </w:r>
      <w:r>
        <w:rPr>
          <w:rFonts w:ascii="Tahoma" w:hAnsi="Tahoma" w:cs="Tahoma"/>
          <w:spacing w:val="12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z </w:t>
      </w:r>
      <w:r>
        <w:rPr>
          <w:rFonts w:ascii="Tahoma" w:hAnsi="Tahoma" w:cs="Tahoma"/>
          <w:spacing w:val="-1"/>
          <w:sz w:val="20"/>
          <w:szCs w:val="20"/>
        </w:rPr>
        <w:t>o</w:t>
      </w:r>
      <w:r>
        <w:rPr>
          <w:rFonts w:ascii="Tahoma" w:hAnsi="Tahoma" w:cs="Tahoma"/>
          <w:sz w:val="20"/>
          <w:szCs w:val="20"/>
        </w:rPr>
        <w:t>c</w:t>
      </w:r>
      <w:r>
        <w:rPr>
          <w:rFonts w:ascii="Tahoma" w:hAnsi="Tahoma" w:cs="Tahoma"/>
          <w:spacing w:val="-5"/>
          <w:sz w:val="20"/>
          <w:szCs w:val="20"/>
        </w:rPr>
        <w:t>z</w:t>
      </w:r>
      <w:r>
        <w:rPr>
          <w:rFonts w:ascii="Tahoma" w:hAnsi="Tahoma" w:cs="Tahoma"/>
          <w:sz w:val="20"/>
          <w:szCs w:val="20"/>
        </w:rPr>
        <w:t>ys</w:t>
      </w:r>
      <w:r>
        <w:rPr>
          <w:rFonts w:ascii="Tahoma" w:hAnsi="Tahoma" w:cs="Tahoma"/>
          <w:spacing w:val="-5"/>
          <w:sz w:val="20"/>
          <w:szCs w:val="20"/>
        </w:rPr>
        <w:t>z</w:t>
      </w:r>
      <w:r>
        <w:rPr>
          <w:rFonts w:ascii="Tahoma" w:hAnsi="Tahoma" w:cs="Tahoma"/>
          <w:spacing w:val="5"/>
          <w:sz w:val="20"/>
          <w:szCs w:val="20"/>
        </w:rPr>
        <w:t>c</w:t>
      </w:r>
      <w:r>
        <w:rPr>
          <w:rFonts w:ascii="Tahoma" w:hAnsi="Tahoma" w:cs="Tahoma"/>
          <w:spacing w:val="-5"/>
          <w:sz w:val="20"/>
          <w:szCs w:val="20"/>
        </w:rPr>
        <w:t>z</w:t>
      </w:r>
      <w:r>
        <w:rPr>
          <w:rFonts w:ascii="Tahoma" w:hAnsi="Tahoma" w:cs="Tahoma"/>
          <w:spacing w:val="-1"/>
          <w:sz w:val="20"/>
          <w:szCs w:val="20"/>
        </w:rPr>
        <w:t>an</w:t>
      </w:r>
      <w:r>
        <w:rPr>
          <w:rFonts w:ascii="Tahoma" w:hAnsi="Tahoma" w:cs="Tahoma"/>
          <w:spacing w:val="3"/>
          <w:sz w:val="20"/>
          <w:szCs w:val="20"/>
        </w:rPr>
        <w:t>i</w:t>
      </w:r>
      <w:r>
        <w:rPr>
          <w:rFonts w:ascii="Tahoma" w:hAnsi="Tahoma" w:cs="Tahoma"/>
          <w:spacing w:val="-5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m</w:t>
      </w:r>
      <w:r>
        <w:rPr>
          <w:rFonts w:ascii="Tahoma" w:hAnsi="Tahoma" w:cs="Tahoma"/>
          <w:spacing w:val="17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i</w:t>
      </w:r>
      <w:r>
        <w:rPr>
          <w:rFonts w:ascii="Tahoma" w:hAnsi="Tahoma" w:cs="Tahoma"/>
          <w:spacing w:val="7"/>
          <w:sz w:val="20"/>
          <w:szCs w:val="20"/>
        </w:rPr>
        <w:t xml:space="preserve"> </w:t>
      </w:r>
      <w:r>
        <w:rPr>
          <w:rFonts w:ascii="Tahoma" w:hAnsi="Tahoma" w:cs="Tahoma"/>
          <w:spacing w:val="-5"/>
          <w:sz w:val="20"/>
          <w:szCs w:val="20"/>
        </w:rPr>
        <w:t>s</w:t>
      </w:r>
      <w:r>
        <w:rPr>
          <w:rFonts w:ascii="Tahoma" w:hAnsi="Tahoma" w:cs="Tahoma"/>
          <w:sz w:val="20"/>
          <w:szCs w:val="20"/>
        </w:rPr>
        <w:t>kr</w:t>
      </w:r>
      <w:r>
        <w:rPr>
          <w:rFonts w:ascii="Tahoma" w:hAnsi="Tahoma" w:cs="Tahoma"/>
          <w:spacing w:val="-1"/>
          <w:sz w:val="20"/>
          <w:szCs w:val="20"/>
        </w:rPr>
        <w:t>o</w:t>
      </w:r>
      <w:r>
        <w:rPr>
          <w:rFonts w:ascii="Tahoma" w:hAnsi="Tahoma" w:cs="Tahoma"/>
          <w:spacing w:val="-5"/>
          <w:sz w:val="20"/>
          <w:szCs w:val="20"/>
        </w:rPr>
        <w:t>p</w:t>
      </w:r>
      <w:r>
        <w:rPr>
          <w:rFonts w:ascii="Tahoma" w:hAnsi="Tahoma" w:cs="Tahoma"/>
          <w:spacing w:val="3"/>
          <w:sz w:val="20"/>
          <w:szCs w:val="20"/>
        </w:rPr>
        <w:t>i</w:t>
      </w:r>
      <w:r>
        <w:rPr>
          <w:rFonts w:ascii="Tahoma" w:hAnsi="Tahoma" w:cs="Tahoma"/>
          <w:spacing w:val="-5"/>
          <w:sz w:val="20"/>
          <w:szCs w:val="20"/>
        </w:rPr>
        <w:t>e</w:t>
      </w:r>
      <w:r>
        <w:rPr>
          <w:rFonts w:ascii="Tahoma" w:hAnsi="Tahoma" w:cs="Tahoma"/>
          <w:spacing w:val="-1"/>
          <w:sz w:val="20"/>
          <w:szCs w:val="20"/>
        </w:rPr>
        <w:t>n</w:t>
      </w:r>
      <w:r>
        <w:rPr>
          <w:rFonts w:ascii="Tahoma" w:hAnsi="Tahoma" w:cs="Tahoma"/>
          <w:spacing w:val="3"/>
          <w:sz w:val="20"/>
          <w:szCs w:val="20"/>
        </w:rPr>
        <w:t>i</w:t>
      </w:r>
      <w:r>
        <w:rPr>
          <w:rFonts w:ascii="Tahoma" w:hAnsi="Tahoma" w:cs="Tahoma"/>
          <w:spacing w:val="-10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m</w:t>
      </w:r>
      <w:r>
        <w:rPr>
          <w:rFonts w:ascii="Tahoma" w:hAnsi="Tahoma" w:cs="Tahoma"/>
          <w:spacing w:val="20"/>
          <w:sz w:val="20"/>
          <w:szCs w:val="20"/>
        </w:rPr>
        <w:t xml:space="preserve"> </w:t>
      </w:r>
      <w:r>
        <w:rPr>
          <w:rFonts w:ascii="Tahoma" w:hAnsi="Tahoma" w:cs="Tahoma"/>
          <w:spacing w:val="-2"/>
          <w:sz w:val="20"/>
          <w:szCs w:val="20"/>
        </w:rPr>
        <w:t>w</w:t>
      </w:r>
      <w:r>
        <w:rPr>
          <w:rFonts w:ascii="Tahoma" w:hAnsi="Tahoma" w:cs="Tahoma"/>
          <w:spacing w:val="-5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>rstw</w:t>
      </w:r>
      <w:r>
        <w:rPr>
          <w:rFonts w:ascii="Tahoma" w:hAnsi="Tahoma" w:cs="Tahoma"/>
          <w:spacing w:val="3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k</w:t>
      </w:r>
      <w:r>
        <w:rPr>
          <w:rFonts w:ascii="Tahoma" w:hAnsi="Tahoma" w:cs="Tahoma"/>
          <w:spacing w:val="-1"/>
          <w:sz w:val="20"/>
          <w:szCs w:val="20"/>
        </w:rPr>
        <w:t>on</w:t>
      </w:r>
      <w:r>
        <w:rPr>
          <w:rFonts w:ascii="Tahoma" w:hAnsi="Tahoma" w:cs="Tahoma"/>
          <w:spacing w:val="-5"/>
          <w:sz w:val="20"/>
          <w:szCs w:val="20"/>
        </w:rPr>
        <w:t>s</w:t>
      </w:r>
      <w:r>
        <w:rPr>
          <w:rFonts w:ascii="Tahoma" w:hAnsi="Tahoma" w:cs="Tahoma"/>
          <w:sz w:val="20"/>
          <w:szCs w:val="20"/>
        </w:rPr>
        <w:t>tr</w:t>
      </w:r>
      <w:r>
        <w:rPr>
          <w:rFonts w:ascii="Tahoma" w:hAnsi="Tahoma" w:cs="Tahoma"/>
          <w:spacing w:val="-5"/>
          <w:sz w:val="20"/>
          <w:szCs w:val="20"/>
        </w:rPr>
        <w:t>uk</w:t>
      </w:r>
      <w:r>
        <w:rPr>
          <w:rFonts w:ascii="Tahoma" w:hAnsi="Tahoma" w:cs="Tahoma"/>
          <w:sz w:val="20"/>
          <w:szCs w:val="20"/>
        </w:rPr>
        <w:t>cy</w:t>
      </w:r>
      <w:r>
        <w:rPr>
          <w:rFonts w:ascii="Tahoma" w:hAnsi="Tahoma" w:cs="Tahoma"/>
          <w:spacing w:val="3"/>
          <w:sz w:val="20"/>
          <w:szCs w:val="20"/>
        </w:rPr>
        <w:t>j</w:t>
      </w:r>
      <w:r>
        <w:rPr>
          <w:rFonts w:ascii="Tahoma" w:hAnsi="Tahoma" w:cs="Tahoma"/>
          <w:spacing w:val="-5"/>
          <w:sz w:val="20"/>
          <w:szCs w:val="20"/>
        </w:rPr>
        <w:t>n</w:t>
      </w:r>
      <w:r>
        <w:rPr>
          <w:rFonts w:ascii="Tahoma" w:hAnsi="Tahoma" w:cs="Tahoma"/>
          <w:sz w:val="20"/>
          <w:szCs w:val="20"/>
        </w:rPr>
        <w:t>yc</w:t>
      </w:r>
      <w:r>
        <w:rPr>
          <w:rFonts w:ascii="Tahoma" w:hAnsi="Tahoma" w:cs="Tahoma"/>
          <w:spacing w:val="-5"/>
          <w:sz w:val="20"/>
          <w:szCs w:val="20"/>
        </w:rPr>
        <w:t>h</w:t>
      </w:r>
      <w:r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pacing w:val="18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w  </w:t>
      </w:r>
      <w:r>
        <w:rPr>
          <w:rFonts w:ascii="Tahoma" w:hAnsi="Tahoma" w:cs="Tahoma"/>
          <w:bCs w:val="0"/>
          <w:iCs w:val="0"/>
          <w:sz w:val="20"/>
          <w:szCs w:val="20"/>
        </w:rPr>
        <w:t xml:space="preserve">związku z zamierzeniem budowlanym pn.: </w:t>
      </w:r>
      <w:r w:rsidR="00117B52" w:rsidRPr="00117B52">
        <w:rPr>
          <w:rFonts w:ascii="Verdana" w:hAnsi="Verdana"/>
          <w:b/>
          <w:szCs w:val="18"/>
        </w:rPr>
        <w:t>Przebudowa drogi wewnętrznej w m. Wiewiórów  dz. ewid. 411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Zakres stosowania STWiORB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Specyfikacja techniczna wykonania i odbioru robót budowlanych powinna być stosowana jako dokument przetargowy i kontraktowy przy zlecaniu i realizacji robót wymienionych w p. 1.1.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Zakres Robót objętych STWiORB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Ustalenia zawarte w niniejszej STWiORB dotyczą zasad prowadzenia robót obejmujących wszystkie czynności umożliwiające i mające na celu wykonanie oczyszczenia i skropienia warstw konstrukcyjnych.</w:t>
      </w:r>
    </w:p>
    <w:p w:rsidR="00E31CCC" w:rsidRDefault="002E1A55">
      <w:pPr>
        <w:rPr>
          <w:rFonts w:ascii="Tahoma" w:hAnsi="Tahoma" w:cs="Tahoma"/>
          <w:strike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Oczyszczenie i skropienie warstw konstrukcyjnych należy wykonać przed ułożen</w:t>
      </w:r>
      <w:bookmarkStart w:id="0" w:name="_GoBack"/>
      <w:bookmarkEnd w:id="0"/>
      <w:r>
        <w:rPr>
          <w:rFonts w:ascii="Tahoma" w:hAnsi="Tahoma" w:cs="Tahoma"/>
          <w:sz w:val="20"/>
          <w:szCs w:val="20"/>
        </w:rPr>
        <w:t xml:space="preserve">iem każdej następnej warstwy nawierzchni . Rodzaj emulsji należy zastosować w zależności od rodzaju warstwy która będzie skrapiana. 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 warstwie podbudowy z mieszanki niezwiązanej stabilizowanej mechanicznie,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 nowych warstwach bitumicznych (podbudowa oraz wiążąca z AC).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Określenia podstawowe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Określenia i definicje użyte w niniejszej STWiORB są zgodne z obowiązującymi odpowiednimi polskimi normami i z definicjami podanymi w STWiORB DM.00.00.00. „Wymagania ogólne” p.1.4.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wymagania dotyczące Robót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wymagania dotyczące Robót podano w STWiORB DM.00.00.00. „Wymagania ogólne” p.1.5.</w:t>
      </w:r>
    </w:p>
    <w:p w:rsidR="00E31CCC" w:rsidRDefault="002E1A55">
      <w:pPr>
        <w:pStyle w:val="Nagwek11"/>
        <w:numPr>
          <w:ilvl w:val="0"/>
          <w:numId w:val="2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MATERIAŁY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1" w:name="_Toc407086118"/>
      <w:r>
        <w:rPr>
          <w:rFonts w:ascii="Tahoma" w:hAnsi="Tahoma" w:cs="Tahoma"/>
          <w:sz w:val="20"/>
          <w:szCs w:val="20"/>
        </w:rPr>
        <w:t>Ogólne wymagania dotyczące materiałów</w:t>
      </w:r>
      <w:bookmarkEnd w:id="1"/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Ogólne wymagania dotyczące materiałów, ich pozyskiwania i składowania, podano w STWiORB DM.00.00.00 „Wymagania ogólne” p.2. 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Do łączenia warstw asfaltowych zaleca się stosowanie emulsji asfaltowych kationowych wyprodukowanych wyłącznie z asfaltu D70/100, D50/70 lub twardszego. 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2" w:name="_Toc407085671"/>
      <w:bookmarkStart w:id="3" w:name="_Toc407085528"/>
      <w:bookmarkStart w:id="4" w:name="_Toc407085385"/>
      <w:bookmarkStart w:id="5" w:name="_Toc407084266"/>
      <w:bookmarkStart w:id="6" w:name="_Toc407083432"/>
      <w:bookmarkStart w:id="7" w:name="_Toc407081776"/>
      <w:bookmarkStart w:id="8" w:name="_Toc407081633"/>
      <w:bookmarkStart w:id="9" w:name="_Toc407069668"/>
      <w:bookmarkStart w:id="10" w:name="_Toc407086119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Tahoma" w:hAnsi="Tahoma" w:cs="Tahoma"/>
          <w:sz w:val="20"/>
          <w:szCs w:val="20"/>
        </w:rPr>
        <w:t>Rodzaje materiałów do wykonania skropienia</w:t>
      </w:r>
      <w:bookmarkEnd w:id="10"/>
    </w:p>
    <w:p w:rsidR="00E31CCC" w:rsidRDefault="002E1A55">
      <w:pPr>
        <w:pStyle w:val="Nagwek31"/>
        <w:numPr>
          <w:ilvl w:val="2"/>
          <w:numId w:val="2"/>
        </w:numPr>
        <w:rPr>
          <w:rFonts w:ascii="Tahoma" w:hAnsi="Tahoma" w:cs="Tahoma"/>
          <w:b w:val="0"/>
          <w:iCs w:val="0"/>
          <w:sz w:val="20"/>
          <w:szCs w:val="20"/>
        </w:rPr>
      </w:pPr>
      <w:r>
        <w:rPr>
          <w:rFonts w:ascii="Tahoma" w:hAnsi="Tahoma" w:cs="Tahoma"/>
          <w:b w:val="0"/>
          <w:iCs w:val="0"/>
          <w:sz w:val="20"/>
          <w:szCs w:val="20"/>
        </w:rPr>
        <w:t>Do skropienia warstwy podbudowy z mieszanki niezwiązanej i związanej cementem, powinna być stosowana kationowa emulsja asfaltowa niemodyfikowana o oznaczeniu C60 B10 ZM/R, zgodna z normą PN-EN 13808:2013-10/Ap1, o właściwościach jak niżej.</w:t>
      </w:r>
    </w:p>
    <w:p w:rsidR="00E31CCC" w:rsidRDefault="002E1A55">
      <w:pPr>
        <w:spacing w:before="120" w:after="20"/>
        <w:jc w:val="center"/>
        <w:rPr>
          <w:rFonts w:ascii="Tahoma" w:hAnsi="Tahoma" w:cs="Tahoma"/>
          <w:sz w:val="20"/>
          <w:szCs w:val="20"/>
          <w:vertAlign w:val="superscript"/>
        </w:rPr>
      </w:pPr>
      <w:r>
        <w:rPr>
          <w:rFonts w:ascii="Tahoma" w:hAnsi="Tahoma" w:cs="Tahoma"/>
          <w:sz w:val="20"/>
          <w:szCs w:val="20"/>
        </w:rPr>
        <w:t>Tabela 1. Wymagania dla kationowej emulsji asfaltowej C60 B10 ZM/R</w:t>
      </w:r>
    </w:p>
    <w:tbl>
      <w:tblPr>
        <w:tblW w:w="948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04"/>
        <w:gridCol w:w="5001"/>
        <w:gridCol w:w="1871"/>
        <w:gridCol w:w="2111"/>
      </w:tblGrid>
      <w:tr w:rsidR="00E31CCC">
        <w:trPr>
          <w:cantSplit/>
          <w:trHeight w:val="510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Badane właściwości 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Metoda badania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Wymaganie (klasa)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Zawartość lepiszcza,% (m/m)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1428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58 ÷ 62 (6)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Stabilność podczas mieszania z cementem, g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12848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2 (10)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Pozostałość na sicie 0,5 mm, % (m/m)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1429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0,2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Czas wypływu dla Ø 2 mm w 40 °C, s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12846-1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 ÷ 70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Przyczepność do kruszywa referencyjnego 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13614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≥ 75 (2)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Trwałość podczas magazynowania – pozostałość na sicie (7 dni magazynowania – sito 0,5 mm), % (m/m)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1429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0,2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E31CCC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Asfalt odzyskany i stabilizowany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PN-EN 13074-1 i PN-EN 13074-2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Penetracja w 25 °C asfaltu odzyskanego, 0,1 mm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1426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100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Temperatura mięknienia asfaltu odzyskanego, °C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1427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≥ 43 (6)</w:t>
            </w:r>
          </w:p>
        </w:tc>
      </w:tr>
      <w:tr w:rsidR="00E31CCC">
        <w:trPr>
          <w:cantSplit/>
          <w:jc w:val="center"/>
        </w:trPr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lastRenderedPageBreak/>
              <w:t>1)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Podano jedynie właściwości wymagane, pozostałe wartości bez wymagań (NR – No Requirement)</w:t>
            </w:r>
          </w:p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2)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Badanie na kruszywie bazaltowym</w:t>
            </w:r>
          </w:p>
        </w:tc>
      </w:tr>
    </w:tbl>
    <w:p w:rsidR="00E31CCC" w:rsidRDefault="00E31CCC">
      <w:pPr>
        <w:rPr>
          <w:rFonts w:ascii="Tahoma" w:hAnsi="Tahoma" w:cs="Tahoma"/>
          <w:sz w:val="20"/>
          <w:szCs w:val="20"/>
        </w:rPr>
      </w:pPr>
    </w:p>
    <w:p w:rsidR="00E31CCC" w:rsidRDefault="002E1A55">
      <w:pPr>
        <w:pStyle w:val="Nagwek31"/>
        <w:numPr>
          <w:ilvl w:val="2"/>
          <w:numId w:val="2"/>
        </w:numPr>
        <w:rPr>
          <w:rFonts w:ascii="Tahoma" w:hAnsi="Tahoma" w:cs="Tahoma"/>
          <w:b w:val="0"/>
          <w:iCs w:val="0"/>
          <w:sz w:val="20"/>
          <w:szCs w:val="20"/>
        </w:rPr>
      </w:pPr>
      <w:r>
        <w:rPr>
          <w:rFonts w:ascii="Tahoma" w:hAnsi="Tahoma" w:cs="Tahoma"/>
          <w:b w:val="0"/>
          <w:iCs w:val="0"/>
          <w:sz w:val="20"/>
          <w:szCs w:val="20"/>
        </w:rPr>
        <w:t>Do skropienia warstw konstrukcyjnych asfaltowych wykonanych z asfaltów niemodyfikowanych, należy użyć emulsję asfaltową kationową przeznaczoną do złączania warstw konstrukcji nawierzchni (ZM), zgodnie z PN-EN 13808:2013-10/Ap1, o oznaczeniu C60 B3 ZM o właściwościach jak niżej  lub inne emulsje wymienione w normie PN-EN 13808:2013-10/Ap1 zgodnie z zalecanym zastosowaniem (Tablica NA.2).</w:t>
      </w:r>
    </w:p>
    <w:p w:rsidR="00E31CCC" w:rsidRDefault="002E1A55">
      <w:pPr>
        <w:spacing w:before="1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Tabela 2. Wymagania dla kationowej emulsji asfaltowej C60 B3 ZM</w:t>
      </w:r>
    </w:p>
    <w:tbl>
      <w:tblPr>
        <w:tblW w:w="948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04"/>
        <w:gridCol w:w="5001"/>
        <w:gridCol w:w="1871"/>
        <w:gridCol w:w="2111"/>
      </w:tblGrid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Badane właściwości 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Metoda badania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Wymaganie (klasa)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Zawartość lepiszcza,% (m/m)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1428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58 ÷ 62 (6)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Indeks rozpadu, g/100g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13075-1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 ÷ 155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Pozostałość na sicie 0,5 mm, % (m/m)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1429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0,2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Czas wypływu dla Ø 2 mm w 40 °C, s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12846-1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 ÷ 70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Trwałość podczas magazynowania – pozostałość na sicie (7 dni magazynowania – sito 0,5 mm), % (m/m)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1429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0,2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E31CCC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Asfalt odzyskany i stabilizowany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PN-EN 13074-1 i PN-EN 13074-2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Penetracja w 25 °C asfaltu odzyskanego, 0,1 mm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1426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100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Temperatura mięknienia asfaltu odzyskanego, °C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1427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≥ 43 (6)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1)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Podano jedynie właściwości wymagane, pozostałe wartości bez wymagań (NR – No Requirement)</w:t>
            </w:r>
          </w:p>
        </w:tc>
      </w:tr>
    </w:tbl>
    <w:p w:rsidR="00E31CCC" w:rsidRDefault="00E31CCC">
      <w:pPr>
        <w:rPr>
          <w:rFonts w:ascii="Tahoma" w:hAnsi="Tahoma" w:cs="Tahoma"/>
          <w:sz w:val="20"/>
          <w:szCs w:val="20"/>
        </w:rPr>
      </w:pPr>
    </w:p>
    <w:p w:rsidR="00E31CCC" w:rsidRDefault="002E1A55">
      <w:pPr>
        <w:pStyle w:val="Nagwek31"/>
        <w:numPr>
          <w:ilvl w:val="2"/>
          <w:numId w:val="2"/>
        </w:numPr>
        <w:rPr>
          <w:rFonts w:ascii="Tahoma" w:hAnsi="Tahoma" w:cs="Tahoma"/>
          <w:b w:val="0"/>
          <w:iCs w:val="0"/>
          <w:sz w:val="20"/>
          <w:szCs w:val="20"/>
        </w:rPr>
      </w:pPr>
      <w:r>
        <w:rPr>
          <w:rFonts w:ascii="Tahoma" w:hAnsi="Tahoma" w:cs="Tahoma"/>
          <w:b w:val="0"/>
          <w:iCs w:val="0"/>
          <w:sz w:val="20"/>
          <w:szCs w:val="20"/>
        </w:rPr>
        <w:t>Do skropienia warstw konstrukcyjnych bitumicznych wykonanych z asfaltów modyfikowanych należy użyć emulsję asfaltową modyfikowaną polimerami przeznaczoną do złączania warstw konstrukcji nawierzchni (ZM) zgodnie z PN-EN 13808:2013-10/Ap1, o oznaczeniu C60 BP3 ZM o właściwościach jak niżej lub inne emulsje wymienione w normie PN-EN 13808:2013-10/Ap1 zgodnie z zalecanym zastosowaniem (Tablica NA.2).</w:t>
      </w:r>
    </w:p>
    <w:p w:rsidR="00E31CCC" w:rsidRDefault="002E1A55">
      <w:pPr>
        <w:spacing w:before="120"/>
        <w:jc w:val="center"/>
        <w:rPr>
          <w:rFonts w:ascii="Tahoma" w:hAnsi="Tahoma" w:cs="Tahoma"/>
          <w:sz w:val="20"/>
          <w:szCs w:val="20"/>
          <w:vertAlign w:val="superscript"/>
        </w:rPr>
      </w:pPr>
      <w:r>
        <w:rPr>
          <w:rFonts w:ascii="Tahoma" w:hAnsi="Tahoma" w:cs="Tahoma"/>
          <w:sz w:val="20"/>
          <w:szCs w:val="20"/>
        </w:rPr>
        <w:t>Tabela 3. Wymagania dla kationowej emulsji asfaltowej C60 BP3 ZM</w:t>
      </w:r>
    </w:p>
    <w:tbl>
      <w:tblPr>
        <w:tblW w:w="948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04"/>
        <w:gridCol w:w="5001"/>
        <w:gridCol w:w="1871"/>
        <w:gridCol w:w="2111"/>
      </w:tblGrid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Badane właściwości 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Metoda badania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Wymaganie (klasa)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Zawartość lepiszcza,% (m/m)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1428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58 ÷ 62 (6)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Indeks rozpadu, g/100g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13075-1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 ÷ 155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Pozostałość na sicie 0,5 mm, % (m/m)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1429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0,2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Czas wypływu dla Ø 2 mm w 40 °C, s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12846-1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 ÷ 70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Trwałość podczas magazynowania – pozostałość na sicie (7 dni magazynowania – sito 0,5 mm), % (m/m)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1429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0,2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E31CCC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Asfalt odzyskany i stabilizowany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PN-EN 13074-1 i PN-EN 13074-2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Penetracja w 25 °C asfaltu odzyskanego, 0,1 mm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1426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≤ 100 (3)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Temperatura mięknienia asfaltu odzyskanego, °C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1427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≥ 46 (5)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Energia kohezji, J/cm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13589 i PN-EN 13703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DV 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2)</w:t>
            </w:r>
            <w:r>
              <w:rPr>
                <w:rFonts w:ascii="Tahoma" w:hAnsi="Tahoma" w:cs="Tahoma"/>
                <w:sz w:val="20"/>
                <w:szCs w:val="20"/>
              </w:rPr>
              <w:t xml:space="preserve"> (1)</w:t>
            </w:r>
          </w:p>
        </w:tc>
      </w:tr>
      <w:tr w:rsidR="00E31CCC">
        <w:trPr>
          <w:cantSplit/>
          <w:trHeight w:val="284"/>
          <w:jc w:val="center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Nawrót sprężysty w 25 °C, %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13398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≥ 50 (5)</w:t>
            </w:r>
          </w:p>
        </w:tc>
      </w:tr>
      <w:tr w:rsidR="00E31CCC">
        <w:trPr>
          <w:jc w:val="center"/>
        </w:trPr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CCC" w:rsidRDefault="002E1A55">
            <w:pPr>
              <w:pStyle w:val="Tabela"/>
              <w:jc w:val="left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  <w:vertAlign w:val="superscript"/>
              </w:rPr>
              <w:t>1)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   Podano jedynie właściwości wymagane, pozostałe wartości bez wymagań (NR – No Requirement)</w:t>
            </w:r>
          </w:p>
          <w:p w:rsidR="00E31CCC" w:rsidRDefault="002E1A55">
            <w:pPr>
              <w:pStyle w:val="Tabela"/>
              <w:jc w:val="left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  <w:vertAlign w:val="superscript"/>
              </w:rPr>
              <w:t>2)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   DV – Declared Value (wartość deklarowana)</w:t>
            </w:r>
          </w:p>
        </w:tc>
      </w:tr>
    </w:tbl>
    <w:p w:rsidR="00E31CCC" w:rsidRDefault="00E31CCC">
      <w:pPr>
        <w:rPr>
          <w:rFonts w:ascii="Tahoma" w:hAnsi="Tahoma" w:cs="Tahoma"/>
          <w:sz w:val="20"/>
          <w:szCs w:val="20"/>
        </w:rPr>
      </w:pP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Zużycie lepiszczy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Zalecaną ilość skropienia lepiszczem podłoża warstw asfaltowych podano w poniższej tabeli. Decydującym kryterium jest uzyskanie wymaganej sczepności warstw. Kontrolę ilości lepiszcza do skropienia należy wykonać według PN-EN 12272-1.</w:t>
      </w:r>
    </w:p>
    <w:p w:rsidR="00E31CCC" w:rsidRDefault="00E31CCC">
      <w:pPr>
        <w:rPr>
          <w:rFonts w:ascii="Tahoma" w:hAnsi="Tahoma" w:cs="Tahoma"/>
          <w:sz w:val="20"/>
          <w:szCs w:val="20"/>
        </w:rPr>
      </w:pPr>
    </w:p>
    <w:p w:rsidR="00E31CCC" w:rsidRDefault="00E31CCC">
      <w:pPr>
        <w:rPr>
          <w:rFonts w:ascii="Tahoma" w:hAnsi="Tahoma" w:cs="Tahoma"/>
          <w:sz w:val="20"/>
          <w:szCs w:val="20"/>
        </w:rPr>
      </w:pPr>
    </w:p>
    <w:p w:rsidR="00E31CCC" w:rsidRDefault="00E31CCC">
      <w:pPr>
        <w:rPr>
          <w:rFonts w:ascii="Tahoma" w:hAnsi="Tahoma" w:cs="Tahoma"/>
          <w:sz w:val="20"/>
          <w:szCs w:val="20"/>
        </w:rPr>
      </w:pPr>
    </w:p>
    <w:p w:rsidR="00E31CCC" w:rsidRDefault="002E1A55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Tablica 4. Zalecaną ilość emulsji asfaltowej do skropienia podłoża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1869"/>
        <w:gridCol w:w="1863"/>
        <w:gridCol w:w="1861"/>
        <w:gridCol w:w="1845"/>
        <w:gridCol w:w="1848"/>
      </w:tblGrid>
      <w:tr w:rsidR="00E31CCC">
        <w:tc>
          <w:tcPr>
            <w:tcW w:w="3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Podłoże pod układaną warstwę asfaltową</w:t>
            </w:r>
          </w:p>
        </w:tc>
        <w:tc>
          <w:tcPr>
            <w:tcW w:w="5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Układana warstwa</w:t>
            </w:r>
          </w:p>
        </w:tc>
      </w:tr>
      <w:tr w:rsidR="00E31CCC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rodzaj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cecha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podbudowa asfaltowa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wiążąca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ścieralna z SMA lub z AC</w:t>
            </w:r>
          </w:p>
        </w:tc>
      </w:tr>
      <w:tr w:rsidR="00E31CCC">
        <w:tc>
          <w:tcPr>
            <w:tcW w:w="92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drogi kategorii ruchu KR1÷7 – rodzaj emulsji: C60 B10 ZM/R </w:t>
            </w:r>
          </w:p>
        </w:tc>
      </w:tr>
      <w:tr w:rsidR="00E31CCC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Warstwa podbudowy z mieszanki niezwiązanej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0,5 ÷ 0,7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0,5 ÷ 0,7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</w:tr>
      <w:tr w:rsidR="00E31CCC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Warstwa podbudowy z mieszanki związanej cementem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0,7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</w:tr>
      <w:tr w:rsidR="00E31CCC">
        <w:trPr>
          <w:trHeight w:val="284"/>
        </w:trPr>
        <w:tc>
          <w:tcPr>
            <w:tcW w:w="92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drogi kategorii ruchu KR3÷7 – rodzaj emulsji: C60 BP3 ZM *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)</w:t>
            </w:r>
          </w:p>
        </w:tc>
      </w:tr>
      <w:tr w:rsidR="00E31CCC">
        <w:trPr>
          <w:trHeight w:val="284"/>
        </w:trPr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Warstwa podbudowy asfaltowej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nowo wykonana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0,2 ÷ 0,4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</w:tr>
      <w:tr w:rsidR="00E31CCC">
        <w:trPr>
          <w:trHeight w:val="284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E31CCC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frezowana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</w:tr>
      <w:tr w:rsidR="00E31CCC">
        <w:trPr>
          <w:trHeight w:val="284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E31CCC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porowata lub w złym stanie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0,7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</w:tr>
      <w:tr w:rsidR="00E31CCC">
        <w:trPr>
          <w:trHeight w:val="284"/>
        </w:trPr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Warstwa wiążąca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nowo wykonana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0,2 ÷ 0,4</w:t>
            </w:r>
          </w:p>
        </w:tc>
      </w:tr>
      <w:tr w:rsidR="00E31CCC">
        <w:trPr>
          <w:trHeight w:val="284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E31CCC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frezowana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</w:tr>
      <w:tr w:rsidR="00E31CCC">
        <w:trPr>
          <w:trHeight w:val="284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E31CCC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porowata lub w złym stanie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0,7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</w:tr>
      <w:tr w:rsidR="00E31CCC">
        <w:trPr>
          <w:trHeight w:val="284"/>
        </w:trPr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Stara nawierzchnia asfaltowa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frezowana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</w:tr>
      <w:tr w:rsidR="00E31CCC">
        <w:trPr>
          <w:trHeight w:val="284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E31CCC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porowata lub w złym stanie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0,7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E31CCC">
        <w:trPr>
          <w:trHeight w:val="284"/>
        </w:trPr>
        <w:tc>
          <w:tcPr>
            <w:tcW w:w="92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drogi kategorii ruchu KR1÷2 – rodzaj emulsji: C60 B3 ZM</w:t>
            </w:r>
          </w:p>
        </w:tc>
      </w:tr>
      <w:tr w:rsidR="00E31CCC">
        <w:trPr>
          <w:trHeight w:val="284"/>
        </w:trPr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Warstwa podbudowy asfaltowej lub stara nawierzchnia asfaltowa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nowo wykonana podbudowa lub stara nawierzchni szczelna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0,2 ÷ 0,4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0,2 ÷ 0,4</w:t>
            </w:r>
          </w:p>
        </w:tc>
      </w:tr>
      <w:tr w:rsidR="00E31CCC">
        <w:trPr>
          <w:trHeight w:val="284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E31CCC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frezowana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</w:tr>
      <w:tr w:rsidR="00E31CCC">
        <w:trPr>
          <w:trHeight w:val="284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E31CCC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porowata lub w złym stanie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0,7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</w:tr>
      <w:tr w:rsidR="00E31CCC">
        <w:trPr>
          <w:trHeight w:val="284"/>
        </w:trPr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Warstwa wiążąca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nowo wykonana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0,2 ÷ 0,4</w:t>
            </w:r>
          </w:p>
        </w:tc>
      </w:tr>
      <w:tr w:rsidR="00E31CCC">
        <w:trPr>
          <w:trHeight w:val="284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E31CCC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frezowana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</w:tr>
      <w:tr w:rsidR="00E31CCC">
        <w:trPr>
          <w:trHeight w:val="284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E31CCC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porowata lub w złym stanie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0,6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spacing w:befor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0,3 ÷ 0,5</w:t>
            </w:r>
          </w:p>
        </w:tc>
      </w:tr>
      <w:tr w:rsidR="00E31CCC">
        <w:tc>
          <w:tcPr>
            <w:tcW w:w="92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jc w:val="left"/>
              <w:rPr>
                <w:rFonts w:ascii="Tahoma" w:hAnsi="Tahoma" w:cs="Tahoma"/>
                <w:bCs w:val="0"/>
                <w:iCs w:val="0"/>
                <w:sz w:val="20"/>
                <w:szCs w:val="20"/>
              </w:rPr>
            </w:pPr>
            <w:r>
              <w:rPr>
                <w:rFonts w:ascii="Tahoma" w:hAnsi="Tahoma" w:cs="Tahoma"/>
                <w:bCs w:val="0"/>
                <w:iCs w:val="0"/>
                <w:sz w:val="20"/>
                <w:szCs w:val="20"/>
              </w:rPr>
              <w:t>*</w:t>
            </w:r>
            <w:r>
              <w:rPr>
                <w:rFonts w:ascii="Tahoma" w:hAnsi="Tahoma" w:cs="Tahoma"/>
                <w:bCs w:val="0"/>
                <w:iCs w:val="0"/>
                <w:sz w:val="20"/>
                <w:szCs w:val="20"/>
                <w:vertAlign w:val="superscript"/>
              </w:rPr>
              <w:t xml:space="preserve">)   </w:t>
            </w:r>
            <w:r>
              <w:rPr>
                <w:rFonts w:ascii="Tahoma" w:hAnsi="Tahoma" w:cs="Tahoma"/>
                <w:bCs w:val="0"/>
                <w:iCs w:val="0"/>
                <w:sz w:val="20"/>
                <w:szCs w:val="20"/>
              </w:rPr>
              <w:t>do złączenia dwóch warstw asfaltowych, gdy obydwie te warstwy wykonane są z zastosowaniem asfaltów niemodyfikowanych dopuszcza się zastosowanie emulsji C60 B3 ZM</w:t>
            </w:r>
          </w:p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jc w:val="left"/>
              <w:rPr>
                <w:rFonts w:ascii="Tahoma" w:hAnsi="Tahoma" w:cs="Tahoma"/>
                <w:bCs w:val="0"/>
                <w:iCs w:val="0"/>
                <w:sz w:val="20"/>
                <w:szCs w:val="20"/>
              </w:rPr>
            </w:pPr>
            <w:r>
              <w:rPr>
                <w:rFonts w:ascii="Tahoma" w:hAnsi="Tahoma" w:cs="Tahoma"/>
                <w:bCs w:val="0"/>
                <w:iCs w:val="0"/>
                <w:sz w:val="20"/>
                <w:szCs w:val="20"/>
              </w:rPr>
              <w:t>Uwaga: w celu określenia ilości pozostałego lepiszcza asfaltowego, należy ilość emulsji asfaltowej podaną w tabeli pomnożyć przez 0,6.</w:t>
            </w:r>
          </w:p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jc w:val="left"/>
              <w:rPr>
                <w:rFonts w:ascii="Tahoma" w:hAnsi="Tahoma" w:cs="Tahoma"/>
                <w:bCs w:val="0"/>
                <w:iCs w:val="0"/>
                <w:sz w:val="20"/>
                <w:szCs w:val="20"/>
              </w:rPr>
            </w:pPr>
            <w:r>
              <w:rPr>
                <w:rFonts w:ascii="Tahoma" w:hAnsi="Tahoma" w:cs="Tahoma"/>
                <w:bCs w:val="0"/>
                <w:iCs w:val="0"/>
                <w:sz w:val="20"/>
                <w:szCs w:val="20"/>
              </w:rPr>
              <w:t>Objaśnienia:</w:t>
            </w:r>
          </w:p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jc w:val="left"/>
              <w:rPr>
                <w:rFonts w:ascii="Tahoma" w:hAnsi="Tahoma" w:cs="Tahoma"/>
                <w:bCs w:val="0"/>
                <w:iCs w:val="0"/>
                <w:sz w:val="20"/>
                <w:szCs w:val="20"/>
              </w:rPr>
            </w:pPr>
            <w:r>
              <w:rPr>
                <w:rFonts w:ascii="Tahoma" w:hAnsi="Tahoma" w:cs="Tahoma"/>
                <w:bCs w:val="0"/>
                <w:iCs w:val="0"/>
                <w:sz w:val="20"/>
                <w:szCs w:val="20"/>
              </w:rPr>
              <w:t>„ x ” - nie dotyczy</w:t>
            </w:r>
          </w:p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 w:val="0"/>
                <w:iCs w:val="0"/>
                <w:sz w:val="20"/>
                <w:szCs w:val="20"/>
              </w:rPr>
              <w:t>„ - ” - rozwiązanie nie występuje</w:t>
            </w:r>
          </w:p>
        </w:tc>
      </w:tr>
    </w:tbl>
    <w:p w:rsidR="00E31CCC" w:rsidRDefault="00E31CCC">
      <w:pPr>
        <w:rPr>
          <w:rFonts w:ascii="Tahoma" w:hAnsi="Tahoma" w:cs="Tahoma"/>
          <w:sz w:val="20"/>
          <w:szCs w:val="20"/>
        </w:rPr>
      </w:pP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Przy ustalaniu ilości emulsji do skropienia pod geosiatkę należy brać pod uwagę zalecenia Producenta geosyntetyku.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Optymalną ilość emulsji asfaltowej do skropienia należy ustalić na odcinku próbnym układania mieszanki mineralno-asfaltowej, w zależności od rodzaju warstwy, stanu jej powierzchni oraz zawartości asfaltu w emulsji. Ilość lepiszcza powinna być dobrana w taki sposób, aby zapewniała całkowite pokrycie emulsją skrapianej powierzchni a jednocześnie nie powodowała spływu emulsji po nawierzchni.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Ocenę należy dokonać na podstawie wytrzymałości na ścinanie, wymagania wg tabeli 5. W uzasadnionych przypadkach (brak szczepności), zakresy dozowania podane w tabeli 4 mogą zostać rozszerzone.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Warunki przechowywania emulsji nie mogą powodować utraty jej cech i obniżenia jakości. Przechowywanie i transport emulsji powinien być zgodny z zaleceniami producenta.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Ochrona wykonanego skropienia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Wykonanie warstwy ochronnej emulsji przez dodatkowe skropienie z użyciem mleczka wapiennego należy stosować dla dróg o kategorii ruchu KR 4÷7. Skropienie mleczkiem wapiennym wykonuje się dopiero wtedy, gdy nastąpi rozpad emulsji i odparuje woda.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Stężenie roztworu roboczego mleczka wapiennego należy przygotować tak, by w 100 g próbki zawartość wodorotlenku wapnia wyrażona w gramach, a otrzymana przez wysuszenie próbki w suszarce w temp. 110 ± 5°C do stałej masy (jednak nie dłużej niż 5 godz.) była: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nie mniejsza niż 16,0% i nie większa niż 28,0% - do skropienia podbudowy z mieszanki niezwiązanej lub związanej hydraulicznie,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nie mniejsza niż 9,0 % i nie większa niż 16,0% - do skropienia warstw mineralno-asfaltowych.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Dozowana na nawierzchnię dawka roztworu mleczka wapiennego powinna zawierać się w przedziale 250 g/m2 ± 20g.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Dalsze prace budowlane na zabezpieczonej nawierzchni można prowadzić po odparowaniu wody z zaaplikowanego roztworu mleczka wapiennego - ocena wizualna (powstanie suchego filmu wodorotlenku wapnia na powierzchni).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Ze względu na osiadanie wodorotlenku wapnia na dnie zbiornika skrapiarki lub opryskiwacza, urządzenia te powinny być wyposażone w system obiegu zamkniętego lub mieszadło obrotowe. Jeśli producent mieszaniny gwarantuje jej jednorodność w określonym czasie, mieszadło nie jest wymagane. Mleczko wapienne należy przechowywać w odpowiednich zbiornikach homogenizacyjnych z zastosowaniem mechanizmów zabezpieczających. Produkt nie może być przechowywany ani transportowany w pojemnikach aluminiowych oraz przechowywany w temperaturach poniżej 5°C.</w:t>
      </w:r>
    </w:p>
    <w:p w:rsidR="00E31CCC" w:rsidRDefault="002E1A55">
      <w:pPr>
        <w:pStyle w:val="Nagwek11"/>
        <w:numPr>
          <w:ilvl w:val="0"/>
          <w:numId w:val="2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SPRZĘT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11" w:name="_Toc407086124"/>
      <w:r>
        <w:rPr>
          <w:rFonts w:ascii="Tahoma" w:hAnsi="Tahoma" w:cs="Tahoma"/>
          <w:sz w:val="20"/>
          <w:szCs w:val="20"/>
        </w:rPr>
        <w:t>Ogólne wymagania dotyczące sprzętu</w:t>
      </w:r>
      <w:bookmarkEnd w:id="11"/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wymagania dotyczące sprzętu podano w STWiORB DM.00.00.00 „Wymagania ogólne” p.3.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Używany sprzęt powinien być ponadto zgodny z ofertą Wykonawcy i PZJ oraz uzyskać akceptację Zamawiającego.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12" w:name="_Toc407085677"/>
      <w:bookmarkStart w:id="13" w:name="_Toc407085534"/>
      <w:bookmarkStart w:id="14" w:name="_Toc407085391"/>
      <w:bookmarkStart w:id="15" w:name="_Toc407084272"/>
      <w:bookmarkStart w:id="16" w:name="_Toc407083438"/>
      <w:bookmarkStart w:id="17" w:name="_Toc407081782"/>
      <w:bookmarkStart w:id="18" w:name="_Toc407081639"/>
      <w:bookmarkStart w:id="19" w:name="_Toc407069674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ascii="Tahoma" w:hAnsi="Tahoma" w:cs="Tahoma"/>
          <w:sz w:val="20"/>
          <w:szCs w:val="20"/>
        </w:rPr>
        <w:t>Sprzęt do oczyszczenia warstw nawierzchni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Style w:val="StylPierwszywiersz05cmZnak"/>
          <w:rFonts w:ascii="Tahoma" w:hAnsi="Tahoma" w:cs="Tahoma"/>
          <w:sz w:val="20"/>
          <w:szCs w:val="20"/>
        </w:rPr>
        <w:t>Do oczyszczania warstw nawierzchni należy stosować szczotki mechaniczne. Zaleca się</w:t>
      </w:r>
      <w:r>
        <w:rPr>
          <w:rFonts w:ascii="Tahoma" w:hAnsi="Tahoma" w:cs="Tahoma"/>
          <w:sz w:val="20"/>
          <w:szCs w:val="20"/>
        </w:rPr>
        <w:t xml:space="preserve"> użycie urządzeń dwuszczotkowych. Pierwsza ze szczotek powinna być wykonana z twardych elementów czyszczących i służyć do zdrapywania oraz usuwania zanieczyszczeń przylegających do czyszczonej warstwy. Druga szczotka powinna posiadać miękkie elementy czyszczące i służyć do zamiatania. Zaleca się używanie szczotek wyposażonych w urządzenia odpylające. 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Sprzęt pomocniczy: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sprężarki,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lance do odpylania,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zbiorniki z wodą,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szczotki ręczne.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Sprzęt do skrapiania warstw nawierzchni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robót jest zobowiązany do użycia tylko takiej skrapiarki, która zapewni rozłożenie na jezdni przewidzianej ilości lepiszcza równomiernie, zarówno w kierunku podłużnym jak i poprzecznym. Dla zapewnienia równomiernego rozłożenia przewidzianej ilości lepiszcza na nawierzchni, skrapiarka powinna być wyposażona w urządzenia pomiarowo-kontrolne oraz mechanizmy regulacyjne, pozwalające na sprawdzenie i regulowanie parametrów takich jak: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temperatury rozkładanego lepiszcza,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ciśnienia lepiszcza w kolektorze,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obrotów pompy dozującej lepiszcze,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prędkości poruszania się skrapiarki (dokładny pomiar i wskazanie w zakresie zwykle od 3 ÷ 6 km/h),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wysokości i długości kolektora do rozkładania lepiszcza,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ilości lepiszcza.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Zbiornik na lepiszcze skrapiarki powinien być izolowany termicznie, tak aby było możliwe zachowanie stałej temperatury lepiszcza. Kolektor skrapiarki powinien być wyposażony w dysze szczelinowe oraz posiadać regulację wysokości swego położenia nad powierzchnią jezdni, dla zapewnienia równomiernego pokrycia nawierzchni lepiszczem z dwóch lub trzech dysz. Nie dopuszcza się stosowania skrapiarek, których kolektor jest wyposażony w dysze stożkowe. Zależności pomiędzy wydatkiem lepiszcza a nastawami regulowanych parametrów takich jak: ciśnienie, obroty pompy prędkość jazdy skrapiarki i temperatura lepiszcza powinny być  zawarte w aktualnych wynikach cechowania skrapiarki.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powinien posiadać aktualne świadectwo cechowania skrapiarki zawierające zależności pomiędzy wydatkiem lepiszcza a następującymi parametrami: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ciśnieniem lepiszcza,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obrotami pompy,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prędkością jazdy skrapiarki,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temperaturą lepiszcza.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Skrapiarka powinna zapewnić rozkładanie lepiszcza z tolerancją </w:t>
      </w:r>
      <w:r>
        <w:rPr>
          <w:rFonts w:ascii="Symbol" w:eastAsia="Symbol" w:hAnsi="Symbol" w:cs="Symbol"/>
          <w:sz w:val="20"/>
          <w:szCs w:val="20"/>
        </w:rPr>
        <w:t></w:t>
      </w:r>
      <w:r>
        <w:rPr>
          <w:rFonts w:ascii="Tahoma" w:hAnsi="Tahoma" w:cs="Tahoma"/>
          <w:sz w:val="20"/>
          <w:szCs w:val="20"/>
        </w:rPr>
        <w:t>10 % od ilości ustalonej wg p.2. zarówno w kierunku podłużnym jak i poprzecznym.</w:t>
      </w:r>
    </w:p>
    <w:p w:rsidR="00E31CCC" w:rsidRDefault="002E1A55">
      <w:pPr>
        <w:pStyle w:val="Nagwek11"/>
        <w:numPr>
          <w:ilvl w:val="0"/>
          <w:numId w:val="2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TRANSPORT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20" w:name="_Toc407086128"/>
      <w:r>
        <w:rPr>
          <w:rFonts w:ascii="Tahoma" w:hAnsi="Tahoma" w:cs="Tahoma"/>
          <w:sz w:val="20"/>
          <w:szCs w:val="20"/>
        </w:rPr>
        <w:t>Ogólne wymagania dotyczące transportu</w:t>
      </w:r>
      <w:bookmarkEnd w:id="20"/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wymagania dotyczące transportu podano w STWiORB DM.00.00.00 „Wymagania ogólne” p.4.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21" w:name="_Toc407085681"/>
      <w:bookmarkStart w:id="22" w:name="_Toc407085538"/>
      <w:bookmarkStart w:id="23" w:name="_Toc407085395"/>
      <w:bookmarkStart w:id="24" w:name="_Toc407084276"/>
      <w:bookmarkStart w:id="25" w:name="_Toc407083442"/>
      <w:bookmarkStart w:id="26" w:name="_Toc407081786"/>
      <w:bookmarkStart w:id="27" w:name="_Toc407081643"/>
      <w:bookmarkStart w:id="28" w:name="_Toc407069678"/>
      <w:bookmarkStart w:id="29" w:name="_Toc407086129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ascii="Tahoma" w:hAnsi="Tahoma" w:cs="Tahoma"/>
          <w:sz w:val="20"/>
          <w:szCs w:val="20"/>
        </w:rPr>
        <w:t>Transport lepiszczy</w:t>
      </w:r>
      <w:bookmarkEnd w:id="29"/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Transport lepiszczy powinien odbywać się w cysternach samochodowych. Dopuszcza się stosowanie beczek lub innych pojemników stalowych. Cysterny przeznaczone do przewozu lepiszczy powinny być przedzielone przegrodami, dzielącymi je na komory o pojemności nie większej niż 1 m</w:t>
      </w:r>
      <w:r>
        <w:rPr>
          <w:rFonts w:ascii="Tahoma" w:hAnsi="Tahoma" w:cs="Tahoma"/>
          <w:sz w:val="20"/>
          <w:szCs w:val="20"/>
          <w:vertAlign w:val="superscript"/>
        </w:rPr>
        <w:t>3</w:t>
      </w:r>
      <w:r>
        <w:rPr>
          <w:rFonts w:ascii="Tahoma" w:hAnsi="Tahoma" w:cs="Tahoma"/>
          <w:sz w:val="20"/>
          <w:szCs w:val="20"/>
        </w:rPr>
        <w:t xml:space="preserve">, a każda przegroda powinna mieć wykroje umożliwiające przepływ lepiszcza. Cysterny, pojemniki i zbiorniki przeznaczone do transportu lub składowania lepiszcza powinny być czyste i nie powinny zawierać resztek innych lepiszczy. 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Transport zanieczyszczeń pozostałych po oczyszczeniu nawierzchni odbywa się środkami zaproponowanymi przez Wykonawcę, w sposób nie powodujący ponownego zabrudzenia jezdni.</w:t>
      </w:r>
    </w:p>
    <w:p w:rsidR="00E31CCC" w:rsidRDefault="002E1A55">
      <w:pPr>
        <w:pStyle w:val="Nagwek11"/>
        <w:numPr>
          <w:ilvl w:val="0"/>
          <w:numId w:val="2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WYKONANIE ROBÓT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30" w:name="_Toc407086131"/>
      <w:r>
        <w:rPr>
          <w:rFonts w:ascii="Tahoma" w:hAnsi="Tahoma" w:cs="Tahoma"/>
          <w:sz w:val="20"/>
          <w:szCs w:val="20"/>
        </w:rPr>
        <w:t>Ogólne zasady wykonania robót</w:t>
      </w:r>
      <w:bookmarkEnd w:id="30"/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zasady wykonania robót podano w STWiORB DM.00.00.00 „Wymagania ogólne” p.5.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31" w:name="_Toc407085684"/>
      <w:bookmarkStart w:id="32" w:name="_Toc407085541"/>
      <w:bookmarkStart w:id="33" w:name="_Toc407085398"/>
      <w:bookmarkStart w:id="34" w:name="_Toc407084279"/>
      <w:bookmarkStart w:id="35" w:name="_Toc407083445"/>
      <w:bookmarkStart w:id="36" w:name="_Toc407081789"/>
      <w:bookmarkStart w:id="37" w:name="_Toc407081646"/>
      <w:bookmarkStart w:id="38" w:name="_Toc407069681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rPr>
          <w:rFonts w:ascii="Tahoma" w:hAnsi="Tahoma" w:cs="Tahoma"/>
          <w:sz w:val="20"/>
          <w:szCs w:val="20"/>
        </w:rPr>
        <w:t>Oczyszczenie warstw nawierzchni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Oczyszczenie warstw nawierzchni polega na usunięciu luźnego materiału, brudu, błota i kurzu przez oczyszczenie mechaniczne. Po oczyszczeniu warstwy za pomocą sprzętu mechanicznego, zaleca się odpylić ją za pomocą sprężonego powietrza. Odpylana powierzchnia musi być sucha.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Dobór właściwej ilości skropienia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celu dobrania optymalnej ilości lepiszcza, zapewniającej wymaganą sczepność warstw bitumicznych (ścieralnej z wiążącą, wiążącej z podbudową z AC oraz pomiędzy geosiatką i sąsiednimi warstwami), jednorazowo przed przystąpieniem do Robót, Wykonawca wykona odcinek próbny, w miejscu i o długości uzgodnionej z Zamawiającym, na którym określi niezbędną ilość skropienia na warstwie z podbudowy z AC, wiążącej i pod geosiatkę, potrzebną do przeniesienia wymaganych naprężeń ścinających pomiędzy warstwami bitumicznymi. Poszczególne warstwy z MMA i SMA powinny odpowiadać właściwym mieszankom przeznaczonym na te warstwy, a na połowie odcinka powinna zostać sfrezowana w sposób i sprzętem, który zostanie zastosowany do frezowania połączeń odcinków początkowych i końcowych nawierzchni..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Skropienie warstw nawierzchni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Warstwa przed skropieniem powinna być sucha i oczyszczona. Jeżeli oczyszczona warstwa została zawilgocona, to skropienie lepiszczem może nastąpić dopiero po wyschnięciu warstwy.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Skropienie warstwy może rozpocząć się po akceptacji przez Zamawiającego jej oczyszczenia.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Warstwa nawierzchni powinna być skrapiana lepiszczem przy użyciu skrapiarek a w miejscach trudno dostępnych ręcznie (za pomocą węża z dyszą rozpryskową).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Temperatura emulsji asfaltowej podczas skrapiamia powinna mieścić się w przedziale od 50 ÷ 85 </w:t>
      </w:r>
      <w:r>
        <w:rPr>
          <w:rFonts w:ascii="Symbol" w:eastAsia="Symbol" w:hAnsi="Symbol" w:cs="Symbol"/>
          <w:sz w:val="20"/>
          <w:szCs w:val="20"/>
        </w:rPr>
        <w:t></w:t>
      </w:r>
      <w:r>
        <w:rPr>
          <w:rFonts w:ascii="Tahoma" w:hAnsi="Tahoma" w:cs="Tahoma"/>
          <w:sz w:val="20"/>
          <w:szCs w:val="20"/>
        </w:rPr>
        <w:t xml:space="preserve">C (niemodyfikowane) oraz od 60 ÷ 85 </w:t>
      </w:r>
      <w:r>
        <w:rPr>
          <w:rFonts w:ascii="Symbol" w:eastAsia="Symbol" w:hAnsi="Symbol" w:cs="Symbol"/>
          <w:sz w:val="20"/>
          <w:szCs w:val="20"/>
        </w:rPr>
        <w:t></w:t>
      </w:r>
      <w:r>
        <w:rPr>
          <w:rFonts w:ascii="Tahoma" w:hAnsi="Tahoma" w:cs="Tahoma"/>
          <w:sz w:val="20"/>
          <w:szCs w:val="20"/>
        </w:rPr>
        <w:t>C (modyfikowane) lub zgodnie z zaleceniami producenta.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 razie potrzeby emulsję należy ogrzać do temperatury zapewniającej wymaganą lepkość. Skropienie powinno być równomierne a ilość rozkładanego lepiszcza po odparowaniu wody powinna być równa ilości założonej w pkt.2. z tolerancją </w:t>
      </w:r>
      <w:r>
        <w:rPr>
          <w:rFonts w:ascii="Symbol" w:eastAsia="Symbol" w:hAnsi="Symbol" w:cs="Symbol"/>
          <w:sz w:val="20"/>
          <w:szCs w:val="20"/>
        </w:rPr>
        <w:t></w:t>
      </w:r>
      <w:r>
        <w:rPr>
          <w:rFonts w:ascii="Tahoma" w:hAnsi="Tahoma" w:cs="Tahoma"/>
          <w:sz w:val="20"/>
          <w:szCs w:val="20"/>
        </w:rPr>
        <w:t>10 %.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Skropiona emulsją asfaltową warstwa powinna być pozostawiona bez jakiegokolwiek ruchu na okres niezbędny do całkowitego rozpadu emulsji i odparowania wody z emulsji.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Skropienie powinno być wykonane z wyprzedzeniem w czasie przewidzianym na odparowanie wody; orientacyjny czas wyprzedzenia wynosi co najmniej: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24h – dla skropienia na podbudowie z kruszywa i z mieszanki związanej cementem,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8 h – w pozostałych przypadkach.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Czas ten może zostać odpowiednio skrócony po uzgodnieniu z Zamawiającego.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Przed ułożeniem warstwy z mieszanki mineralno-bitumicznej Wykonawca powinien zabezpieczyć skropioną warstwę nawierzchni przed uszkodzeniem dopuszczając tylko niezbędny ruch budowlany.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Jakiekolwiek uszkodzenia powierzchni powinny być przez Wykonawcę naprawione.</w:t>
      </w:r>
    </w:p>
    <w:p w:rsidR="00E31CCC" w:rsidRDefault="002E1A55">
      <w:pPr>
        <w:pStyle w:val="Nagwek11"/>
        <w:numPr>
          <w:ilvl w:val="0"/>
          <w:numId w:val="2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KONTROLA JAKOŚCI ROBÓT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39" w:name="_Toc407086135"/>
      <w:r>
        <w:rPr>
          <w:rFonts w:ascii="Tahoma" w:hAnsi="Tahoma" w:cs="Tahoma"/>
          <w:sz w:val="20"/>
          <w:szCs w:val="20"/>
        </w:rPr>
        <w:t>Ogólne zasady kontroli jakości robót</w:t>
      </w:r>
      <w:bookmarkEnd w:id="39"/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zasady kontroli jakości robót podano w STWiORB DM.00.00.00 „Wymagania ogólne” p.6.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bookmarkStart w:id="40" w:name="_Toc407085688"/>
      <w:bookmarkStart w:id="41" w:name="_Toc407085545"/>
      <w:bookmarkStart w:id="42" w:name="_Toc407085402"/>
      <w:bookmarkStart w:id="43" w:name="_Toc407084283"/>
      <w:bookmarkStart w:id="44" w:name="_Toc407083449"/>
      <w:bookmarkStart w:id="45" w:name="_Toc407081793"/>
      <w:bookmarkStart w:id="46" w:name="_Toc407081650"/>
      <w:bookmarkStart w:id="47" w:name="_Toc407069685"/>
      <w:bookmarkStart w:id="48" w:name="_Toc407086136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rPr>
          <w:rFonts w:ascii="Tahoma" w:hAnsi="Tahoma" w:cs="Tahoma"/>
          <w:sz w:val="20"/>
          <w:szCs w:val="20"/>
        </w:rPr>
        <w:t>Badania przed przystąpieniem do robót</w:t>
      </w:r>
      <w:bookmarkEnd w:id="48"/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Przed przystąpieniem do Robót Wykonawca powinien przedstawić Zamawiającemu odpowiednie dokumenty dopuszczające Wyrób do stosowania w robotach budowlanych oraz potwierdzające wymagane parametry. Następnie Wykonawca powinien przeprowadzić sprawdzenie poprawnego wykonania oczyszczenia powierzchni przewidzianej do skropienia, a następnie dokonać próbnego skropienia warstwy w celu określenia optymalnych parametrów pracy skrapiarki oraz dobrania i sprawdzenia wymaganej ilości lepiszcza w zależności od rodzaju i stanu warstwy przewidzianej do skropienia.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Badania w czasie Robót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Badania kationowych emulsji asfaltowych należy przeprowadza</w:t>
      </w:r>
      <w:r>
        <w:rPr>
          <w:rFonts w:ascii="Tahoma" w:eastAsia="TimesNewRoman" w:hAnsi="Tahoma" w:cs="Tahoma"/>
          <w:sz w:val="20"/>
          <w:szCs w:val="20"/>
        </w:rPr>
        <w:t xml:space="preserve">ć </w:t>
      </w:r>
      <w:r>
        <w:rPr>
          <w:rFonts w:ascii="Tahoma" w:hAnsi="Tahoma" w:cs="Tahoma"/>
          <w:sz w:val="20"/>
          <w:szCs w:val="20"/>
        </w:rPr>
        <w:t>według normy przywołanych w PN-EN 13808:2013-10/Ap1.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Adhezj</w:t>
      </w:r>
      <w:r>
        <w:rPr>
          <w:rFonts w:ascii="Tahoma" w:eastAsia="TimesNewRoman" w:hAnsi="Tahoma" w:cs="Tahoma"/>
          <w:sz w:val="20"/>
          <w:szCs w:val="20"/>
        </w:rPr>
        <w:t xml:space="preserve">ę </w:t>
      </w:r>
      <w:r>
        <w:rPr>
          <w:rFonts w:ascii="Tahoma" w:hAnsi="Tahoma" w:cs="Tahoma"/>
          <w:sz w:val="20"/>
          <w:szCs w:val="20"/>
        </w:rPr>
        <w:t>należy oznacza</w:t>
      </w:r>
      <w:r>
        <w:rPr>
          <w:rFonts w:ascii="Tahoma" w:eastAsia="TimesNewRoman" w:hAnsi="Tahoma" w:cs="Tahoma"/>
          <w:sz w:val="20"/>
          <w:szCs w:val="20"/>
        </w:rPr>
        <w:t>ć</w:t>
      </w:r>
      <w:r>
        <w:rPr>
          <w:rFonts w:ascii="Tahoma" w:hAnsi="Tahoma" w:cs="Tahoma"/>
          <w:sz w:val="20"/>
          <w:szCs w:val="20"/>
        </w:rPr>
        <w:t>, co najmniej jeden raz dla każdej partii produkcyjnej emulsji.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Próbki emulsji i asfaltów do bada</w:t>
      </w:r>
      <w:r>
        <w:rPr>
          <w:rFonts w:ascii="Tahoma" w:eastAsia="TimesNewRoman" w:hAnsi="Tahoma" w:cs="Tahoma"/>
          <w:sz w:val="20"/>
          <w:szCs w:val="20"/>
        </w:rPr>
        <w:t xml:space="preserve">ń </w:t>
      </w:r>
      <w:r>
        <w:rPr>
          <w:rFonts w:ascii="Tahoma" w:hAnsi="Tahoma" w:cs="Tahoma"/>
          <w:sz w:val="20"/>
          <w:szCs w:val="20"/>
        </w:rPr>
        <w:t>laboratoryjnych powinny by</w:t>
      </w:r>
      <w:r>
        <w:rPr>
          <w:rFonts w:ascii="Tahoma" w:eastAsia="TimesNewRoman" w:hAnsi="Tahoma" w:cs="Tahoma"/>
          <w:sz w:val="20"/>
          <w:szCs w:val="20"/>
        </w:rPr>
        <w:t xml:space="preserve">ć </w:t>
      </w:r>
      <w:r>
        <w:rPr>
          <w:rFonts w:ascii="Tahoma" w:hAnsi="Tahoma" w:cs="Tahoma"/>
          <w:sz w:val="20"/>
          <w:szCs w:val="20"/>
        </w:rPr>
        <w:t>pobierane według PN-EN 58.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Przygotowanie próbek analitycznych powinno by</w:t>
      </w:r>
      <w:r>
        <w:rPr>
          <w:rFonts w:ascii="Tahoma" w:eastAsia="TimesNewRoman" w:hAnsi="Tahoma" w:cs="Tahoma"/>
          <w:sz w:val="20"/>
          <w:szCs w:val="20"/>
        </w:rPr>
        <w:t xml:space="preserve">ć </w:t>
      </w:r>
      <w:r>
        <w:rPr>
          <w:rFonts w:ascii="Tahoma" w:hAnsi="Tahoma" w:cs="Tahoma"/>
          <w:sz w:val="20"/>
          <w:szCs w:val="20"/>
        </w:rPr>
        <w:t>wykonane według PN-EN 12594.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Badanie połączenia międzywarstwowego jako badanie kontrolne, powinno być wykonywane w nawierzchniach dróg KR4÷7. Częstość wykonywanych badań powinna wynosić nie rzadziej niż jeden punkt na 15 000 m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sz w:val="20"/>
          <w:szCs w:val="20"/>
        </w:rPr>
        <w:t xml:space="preserve"> wykonanej nawierzchni.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odniesieniu do dróg KR1÷3 badania kontrolne połączenia międzywarstwowego nie są obligatoryjne, jednak należy je wykonywać w przypadkach budzących wątpliwości co do jakości wykonanych robot.</w:t>
      </w:r>
    </w:p>
    <w:p w:rsidR="00E31CCC" w:rsidRDefault="002E1A55">
      <w:pPr>
        <w:pStyle w:val="Nagwek31"/>
        <w:numPr>
          <w:ilvl w:val="2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Wymagania dla połączenia międzywarstwowego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Wytrzymałość na ścinanie wszystkich połączeń jest warunkiem uzyskania odpowiedniej sztywności konstrukcji, a tym samym trwałości konstrukcji. Jest warunkiem, który jest zakładany do obliczenia grubości warstw na etapie wymiarowania nawierzchni i musi być spełniony.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Wymagane minimalne wartości wytrzymałości na ścinanie połączenia między warstwami asfaltowymi nawierzchni podano w tabeli 5.</w:t>
      </w:r>
    </w:p>
    <w:p w:rsidR="00E31CCC" w:rsidRDefault="002E1A55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Tabela 5. Wymagana wytrzymałość na ścinanie połączenia pomiędzy warstwami asfaltowymi nawierzchni</w:t>
      </w:r>
    </w:p>
    <w:tbl>
      <w:tblPr>
        <w:tblW w:w="7852" w:type="dxa"/>
        <w:jc w:val="center"/>
        <w:tblLook w:val="04A0" w:firstRow="1" w:lastRow="0" w:firstColumn="1" w:lastColumn="0" w:noHBand="0" w:noVBand="1"/>
      </w:tblPr>
      <w:tblGrid>
        <w:gridCol w:w="2713"/>
        <w:gridCol w:w="5139"/>
      </w:tblGrid>
      <w:tr w:rsidR="00E31CCC">
        <w:trPr>
          <w:jc w:val="center"/>
        </w:trPr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Połączenie między warstwami</w:t>
            </w:r>
          </w:p>
          <w:p w:rsidR="00E31CCC" w:rsidRDefault="00E31CC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Wymagana minimalna wytrzymałość na ścinanie, </w:t>
            </w:r>
          </w:p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 próbkach Ф 150 mm (Ф 100 mm)</w:t>
            </w:r>
          </w:p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[MPa]</w:t>
            </w:r>
          </w:p>
        </w:tc>
      </w:tr>
      <w:tr w:rsidR="00E31CCC">
        <w:trPr>
          <w:jc w:val="center"/>
        </w:trPr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ścieralna - wiążąca 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1,0</w:t>
            </w:r>
          </w:p>
        </w:tc>
      </w:tr>
      <w:tr w:rsidR="00E31CCC">
        <w:trPr>
          <w:jc w:val="center"/>
        </w:trPr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wiążąca – podbudowa</w:t>
            </w:r>
          </w:p>
        </w:tc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0,7</w:t>
            </w:r>
          </w:p>
        </w:tc>
      </w:tr>
      <w:tr w:rsidR="00E31CCC">
        <w:trPr>
          <w:jc w:val="center"/>
        </w:trPr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podbudowa - podbudowa 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CCC" w:rsidRDefault="002E1A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0,6</w:t>
            </w:r>
          </w:p>
        </w:tc>
      </w:tr>
      <w:tr w:rsidR="00E31CCC">
        <w:trPr>
          <w:jc w:val="center"/>
        </w:trPr>
        <w:tc>
          <w:tcPr>
            <w:tcW w:w="7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  <w:vertAlign w:val="superscript"/>
              </w:rPr>
              <w:t>a)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 Nie dotyczy asfaltowych warstw kompaktowych</w:t>
            </w:r>
          </w:p>
          <w:p w:rsidR="00E31CCC" w:rsidRDefault="002E1A55">
            <w:pPr>
              <w:tabs>
                <w:tab w:val="left" w:pos="397"/>
                <w:tab w:val="left" w:pos="567"/>
                <w:tab w:val="left" w:pos="737"/>
              </w:tabs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  <w:vertAlign w:val="superscript"/>
              </w:rPr>
              <w:t>b)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 Jeśli podbudowa składa się z kilku warstw asfaltowych</w:t>
            </w:r>
          </w:p>
        </w:tc>
      </w:tr>
    </w:tbl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Metodyka badania wytrzymałości na ścinanie zgodnie z „Instrukcją laboratoryjnego badania sczepności międzywarstwowej warstw asfaltowych wg metody Leutnera i wymagania techniczne sczepności. 2014”, z zastosowaniem próbek Ф 100 mm lub Ф 150mm”. Badaniem referencyjnym jest badanie na probkach Ф 150 mm.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Badanie połączenia międzywarstwowego jako badanie kontrolne, powinno być wykonywane w nawierzchniach dróg KR 4÷7. Częstość wykonywanych badań powinna wynosić nie rzadziej niż jeden punkt na 15 000 m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sz w:val="20"/>
          <w:szCs w:val="20"/>
        </w:rPr>
        <w:t xml:space="preserve"> wykonanej nawierzchni.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odniesieniu do dróg KR1÷3 badania kontrolne połączenia międzywarstwowego nie są obligatoryjne, jednak należy je wykonywać w przypadkach budzących wątpliwości co do jakości wykonanych robot.</w:t>
      </w:r>
    </w:p>
    <w:p w:rsidR="00E31CCC" w:rsidRDefault="002E1A55">
      <w:pPr>
        <w:pStyle w:val="Nagwek31"/>
        <w:numPr>
          <w:ilvl w:val="2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Badania lepiszczy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Ocena lepiszcza powinna by</w:t>
      </w:r>
      <w:r>
        <w:rPr>
          <w:rFonts w:ascii="Tahoma" w:eastAsia="TimesNewRoman" w:hAnsi="Tahoma" w:cs="Tahoma"/>
          <w:sz w:val="20"/>
          <w:szCs w:val="20"/>
        </w:rPr>
        <w:t xml:space="preserve">ć </w:t>
      </w:r>
      <w:r>
        <w:rPr>
          <w:rFonts w:ascii="Tahoma" w:hAnsi="Tahoma" w:cs="Tahoma"/>
          <w:sz w:val="20"/>
          <w:szCs w:val="20"/>
        </w:rPr>
        <w:t>dokonywana w oparciu o deklaracje zgodności producenta. W wypadkach w</w:t>
      </w:r>
      <w:r>
        <w:rPr>
          <w:rFonts w:ascii="Tahoma" w:eastAsia="TimesNewRoman" w:hAnsi="Tahoma" w:cs="Tahoma"/>
          <w:sz w:val="20"/>
          <w:szCs w:val="20"/>
        </w:rPr>
        <w:t>ą</w:t>
      </w:r>
      <w:r>
        <w:rPr>
          <w:rFonts w:ascii="Tahoma" w:hAnsi="Tahoma" w:cs="Tahoma"/>
          <w:sz w:val="20"/>
          <w:szCs w:val="20"/>
        </w:rPr>
        <w:t>tpliwych Zamawiający zaleci wykonanie dodatkowych bada</w:t>
      </w:r>
      <w:r>
        <w:rPr>
          <w:rFonts w:ascii="Tahoma" w:eastAsia="TimesNewRoman" w:hAnsi="Tahoma" w:cs="Tahoma"/>
          <w:sz w:val="20"/>
          <w:szCs w:val="20"/>
        </w:rPr>
        <w:t>ń</w:t>
      </w:r>
      <w:r>
        <w:rPr>
          <w:rFonts w:ascii="Tahoma" w:hAnsi="Tahoma" w:cs="Tahoma"/>
          <w:sz w:val="20"/>
          <w:szCs w:val="20"/>
        </w:rPr>
        <w:t>.</w:t>
      </w:r>
    </w:p>
    <w:p w:rsidR="00E31CCC" w:rsidRDefault="002E1A55">
      <w:pPr>
        <w:pStyle w:val="Nagwek31"/>
        <w:numPr>
          <w:ilvl w:val="2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Sprawdzenie jednorodno</w:t>
      </w:r>
      <w:r>
        <w:rPr>
          <w:rFonts w:ascii="Tahoma" w:eastAsia="TimesNewRoman" w:hAnsi="Tahoma" w:cs="Tahoma"/>
          <w:sz w:val="20"/>
          <w:szCs w:val="20"/>
        </w:rPr>
        <w:t>ś</w:t>
      </w:r>
      <w:r>
        <w:rPr>
          <w:rFonts w:ascii="Tahoma" w:hAnsi="Tahoma" w:cs="Tahoma"/>
          <w:sz w:val="20"/>
          <w:szCs w:val="20"/>
        </w:rPr>
        <w:t>ci skropienia i zu</w:t>
      </w:r>
      <w:r>
        <w:rPr>
          <w:rFonts w:ascii="Tahoma" w:eastAsia="TimesNewRoman" w:hAnsi="Tahoma" w:cs="Tahoma"/>
          <w:sz w:val="20"/>
          <w:szCs w:val="20"/>
        </w:rPr>
        <w:t>ż</w:t>
      </w:r>
      <w:r>
        <w:rPr>
          <w:rFonts w:ascii="Tahoma" w:hAnsi="Tahoma" w:cs="Tahoma"/>
          <w:sz w:val="20"/>
          <w:szCs w:val="20"/>
        </w:rPr>
        <w:t>ycia lepiszcza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Jednorodno</w:t>
      </w:r>
      <w:r>
        <w:rPr>
          <w:rFonts w:ascii="Tahoma" w:eastAsia="TimesNewRoman" w:hAnsi="Tahoma" w:cs="Tahoma"/>
          <w:sz w:val="20"/>
          <w:szCs w:val="20"/>
        </w:rPr>
        <w:t xml:space="preserve">ść </w:t>
      </w:r>
      <w:r>
        <w:rPr>
          <w:rFonts w:ascii="Tahoma" w:hAnsi="Tahoma" w:cs="Tahoma"/>
          <w:sz w:val="20"/>
          <w:szCs w:val="20"/>
        </w:rPr>
        <w:t>skropienia powinna by</w:t>
      </w:r>
      <w:r>
        <w:rPr>
          <w:rFonts w:ascii="Tahoma" w:eastAsia="TimesNewRoman" w:hAnsi="Tahoma" w:cs="Tahoma"/>
          <w:sz w:val="20"/>
          <w:szCs w:val="20"/>
        </w:rPr>
        <w:t xml:space="preserve">ć </w:t>
      </w:r>
      <w:r>
        <w:rPr>
          <w:rFonts w:ascii="Tahoma" w:hAnsi="Tahoma" w:cs="Tahoma"/>
          <w:sz w:val="20"/>
          <w:szCs w:val="20"/>
        </w:rPr>
        <w:t>sprawdzana wizualnie. Raz na miesi</w:t>
      </w:r>
      <w:r>
        <w:rPr>
          <w:rFonts w:ascii="Tahoma" w:eastAsia="TimesNewRoman" w:hAnsi="Tahoma" w:cs="Tahoma"/>
          <w:sz w:val="20"/>
          <w:szCs w:val="20"/>
        </w:rPr>
        <w:t>ą</w:t>
      </w:r>
      <w:r>
        <w:rPr>
          <w:rFonts w:ascii="Tahoma" w:hAnsi="Tahoma" w:cs="Tahoma"/>
          <w:sz w:val="20"/>
          <w:szCs w:val="20"/>
        </w:rPr>
        <w:t>c dla każdej skrapiarki należy przeprowadzi</w:t>
      </w:r>
      <w:r>
        <w:rPr>
          <w:rFonts w:ascii="Tahoma" w:eastAsia="TimesNewRoman" w:hAnsi="Tahoma" w:cs="Tahoma"/>
          <w:sz w:val="20"/>
          <w:szCs w:val="20"/>
        </w:rPr>
        <w:t xml:space="preserve">ć </w:t>
      </w:r>
      <w:r>
        <w:rPr>
          <w:rFonts w:ascii="Tahoma" w:hAnsi="Tahoma" w:cs="Tahoma"/>
          <w:sz w:val="20"/>
          <w:szCs w:val="20"/>
        </w:rPr>
        <w:t>kontrol</w:t>
      </w:r>
      <w:r>
        <w:rPr>
          <w:rFonts w:ascii="Tahoma" w:eastAsia="TimesNewRoman" w:hAnsi="Tahoma" w:cs="Tahoma"/>
          <w:sz w:val="20"/>
          <w:szCs w:val="20"/>
        </w:rPr>
        <w:t xml:space="preserve">ę </w:t>
      </w:r>
      <w:r>
        <w:rPr>
          <w:rFonts w:ascii="Tahoma" w:hAnsi="Tahoma" w:cs="Tahoma"/>
          <w:sz w:val="20"/>
          <w:szCs w:val="20"/>
        </w:rPr>
        <w:t>ilo</w:t>
      </w:r>
      <w:r>
        <w:rPr>
          <w:rFonts w:ascii="Tahoma" w:eastAsia="TimesNewRoman" w:hAnsi="Tahoma" w:cs="Tahoma"/>
          <w:sz w:val="20"/>
          <w:szCs w:val="20"/>
        </w:rPr>
        <w:t>ś</w:t>
      </w:r>
      <w:r>
        <w:rPr>
          <w:rFonts w:ascii="Tahoma" w:hAnsi="Tahoma" w:cs="Tahoma"/>
          <w:sz w:val="20"/>
          <w:szCs w:val="20"/>
        </w:rPr>
        <w:t>ci rozkładanego lepiszcza według normy PN-EN 12272-1 „Powierzchniowe utrwalenia. Metody bada</w:t>
      </w:r>
      <w:r>
        <w:rPr>
          <w:rFonts w:ascii="Tahoma" w:eastAsia="TimesNewRoman" w:hAnsi="Tahoma" w:cs="Tahoma"/>
          <w:sz w:val="20"/>
          <w:szCs w:val="20"/>
        </w:rPr>
        <w:t>ń</w:t>
      </w:r>
      <w:r>
        <w:rPr>
          <w:rFonts w:ascii="Tahoma" w:hAnsi="Tahoma" w:cs="Tahoma"/>
          <w:sz w:val="20"/>
          <w:szCs w:val="20"/>
        </w:rPr>
        <w:t>. Cz</w:t>
      </w:r>
      <w:r>
        <w:rPr>
          <w:rFonts w:ascii="Tahoma" w:eastAsia="TimesNewRoman" w:hAnsi="Tahoma" w:cs="Tahoma"/>
          <w:sz w:val="20"/>
          <w:szCs w:val="20"/>
        </w:rPr>
        <w:t xml:space="preserve">ęść </w:t>
      </w:r>
      <w:r>
        <w:rPr>
          <w:rFonts w:ascii="Tahoma" w:hAnsi="Tahoma" w:cs="Tahoma"/>
          <w:sz w:val="20"/>
          <w:szCs w:val="20"/>
        </w:rPr>
        <w:t>1: Dozowanie i poprzeczny rozkład lepiszcza i kruszywa”.</w:t>
      </w:r>
    </w:p>
    <w:p w:rsidR="00E31CCC" w:rsidRDefault="002E1A55">
      <w:pPr>
        <w:pStyle w:val="Nagwek11"/>
        <w:keepNext w:val="0"/>
        <w:numPr>
          <w:ilvl w:val="0"/>
          <w:numId w:val="2"/>
        </w:numPr>
        <w:spacing w:before="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OBMIAR ROBÓT</w:t>
      </w:r>
    </w:p>
    <w:p w:rsidR="00E31CCC" w:rsidRDefault="002E1A55">
      <w:pPr>
        <w:pStyle w:val="Nagwek21"/>
        <w:keepNext w:val="0"/>
        <w:numPr>
          <w:ilvl w:val="1"/>
          <w:numId w:val="2"/>
        </w:numPr>
      </w:pPr>
      <w:r>
        <w:t>Ogólne zasady obmiaru Robót</w:t>
      </w:r>
    </w:p>
    <w:p w:rsidR="00E31CCC" w:rsidRDefault="002E1A55">
      <w:pPr>
        <w:pStyle w:val="Nagwek21"/>
        <w:keepNext w:val="0"/>
        <w:numPr>
          <w:ilvl w:val="0"/>
          <w:numId w:val="0"/>
        </w:numPr>
        <w:ind w:left="709"/>
        <w:rPr>
          <w:b w:val="0"/>
        </w:rPr>
      </w:pPr>
      <w:r>
        <w:rPr>
          <w:b w:val="0"/>
        </w:rPr>
        <w:t>Ogólne zasady obmiaru Robót podano w STWiORB D-00.00.00 "Wymagania ogólne" pkt.7.</w:t>
      </w:r>
    </w:p>
    <w:p w:rsidR="00E31CCC" w:rsidRDefault="002E1A55">
      <w:pPr>
        <w:pStyle w:val="Nagwek21"/>
        <w:keepNext w:val="0"/>
        <w:numPr>
          <w:ilvl w:val="1"/>
          <w:numId w:val="2"/>
        </w:numPr>
      </w:pPr>
      <w:r>
        <w:t>Jednostka obmiarowa</w:t>
      </w:r>
    </w:p>
    <w:p w:rsidR="00E31CCC" w:rsidRDefault="002E1A55">
      <w:pPr>
        <w:pStyle w:val="Nagwek21"/>
        <w:keepNext w:val="0"/>
        <w:numPr>
          <w:ilvl w:val="0"/>
          <w:numId w:val="0"/>
        </w:numPr>
        <w:ind w:left="709"/>
        <w:rPr>
          <w:b w:val="0"/>
        </w:rPr>
      </w:pPr>
      <w:r>
        <w:rPr>
          <w:b w:val="0"/>
        </w:rPr>
        <w:t>Obmiar oczyszczonej i skropionej powierzchni warstwy powinien być dokonany w metrach kwadratowych [m2].</w:t>
      </w:r>
    </w:p>
    <w:p w:rsidR="00E31CCC" w:rsidRDefault="002E1A55">
      <w:pPr>
        <w:pStyle w:val="Nagwek11"/>
        <w:numPr>
          <w:ilvl w:val="0"/>
          <w:numId w:val="2"/>
        </w:numPr>
        <w:rPr>
          <w:rFonts w:ascii="Tahoma" w:hAnsi="Tahoma" w:cs="Tahoma"/>
          <w:sz w:val="20"/>
        </w:rPr>
      </w:pPr>
      <w:bookmarkStart w:id="49" w:name="_Toc407085692"/>
      <w:bookmarkStart w:id="50" w:name="_Toc407085549"/>
      <w:bookmarkStart w:id="51" w:name="_Toc407085406"/>
      <w:bookmarkStart w:id="52" w:name="_Toc407084287"/>
      <w:bookmarkStart w:id="53" w:name="_Toc407083453"/>
      <w:bookmarkStart w:id="54" w:name="_Toc407081797"/>
      <w:bookmarkStart w:id="55" w:name="_Toc407081654"/>
      <w:bookmarkStart w:id="56" w:name="_Toc407069689"/>
      <w:bookmarkEnd w:id="49"/>
      <w:bookmarkEnd w:id="50"/>
      <w:bookmarkEnd w:id="51"/>
      <w:bookmarkEnd w:id="52"/>
      <w:bookmarkEnd w:id="53"/>
      <w:bookmarkEnd w:id="54"/>
      <w:bookmarkEnd w:id="55"/>
      <w:bookmarkEnd w:id="56"/>
      <w:r>
        <w:rPr>
          <w:rFonts w:ascii="Tahoma" w:hAnsi="Tahoma" w:cs="Tahoma"/>
          <w:sz w:val="20"/>
        </w:rPr>
        <w:t>ODBIÓR ROBÓT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zasady odbioru robót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zasady odbioru robót podano w STWiORB DM.00.00.00 „Wymagania ogólne” p.8.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Sposób odbioru robót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Odbiór oczyszczonej i skropionej powierzchni jest dokonywany na zasadach odbioru Robót zanikających i ulegających zakryciu. Odbiorowi podlegają: 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oczyszczenie pod skropienie</w:t>
      </w:r>
    </w:p>
    <w:p w:rsidR="00E31CCC" w:rsidRDefault="002E1A55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skropienie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Roboty uznaje się za wykonane zgodnie z Dokumentacją Projektową i wymaganiami Zamawiającego, jeżeli wszystkie pomiary i badania z zachowaniem tolerancji wg p.6 dały wyniki pozytywne.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 odbioru Wykonawca przedstawia wszystkie wyniki badań z bieżącej kontroli asfaltu i emulsji, ilości rozłożonego lepiszcza oraz deklaracje zgodności producenta lub oznakowanie wyrobu znakiem CE. Odbioru dokonuje Zamawiający na podstawie wyników badań Wykonawcy i oględzin warstwy.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przypadku stwierdzenia usterek Zamawiający ustali zakres wykonania Robót poprawkowych. Roboty poprawkowe Wykonawca wykona na własny koszt w terminie ustalonym z Zamawiającym.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Odbiór Robót zgodnie z aktualnymi dokumentami, wytycznymi na czas budowy.</w:t>
      </w:r>
    </w:p>
    <w:p w:rsidR="00E31CCC" w:rsidRDefault="002E1A55">
      <w:pPr>
        <w:pStyle w:val="Nagwek11"/>
        <w:numPr>
          <w:ilvl w:val="0"/>
          <w:numId w:val="2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PODSTAWA PŁATNOŚCI</w:t>
      </w:r>
    </w:p>
    <w:p w:rsidR="00E31CCC" w:rsidRDefault="00E31CCC"/>
    <w:p w:rsidR="00E31CCC" w:rsidRDefault="002E1A55">
      <w:pPr>
        <w:pStyle w:val="Nagwek21"/>
        <w:numPr>
          <w:ilvl w:val="1"/>
          <w:numId w:val="2"/>
        </w:numPr>
        <w:spacing w:before="0"/>
        <w:rPr>
          <w:rFonts w:ascii="Tahoma" w:hAnsi="Tahoma" w:cs="Tahoma"/>
        </w:rPr>
      </w:pPr>
      <w:bookmarkStart w:id="57" w:name="_Toc407085696"/>
      <w:bookmarkStart w:id="58" w:name="_Toc407085553"/>
      <w:bookmarkStart w:id="59" w:name="_Toc407085410"/>
      <w:bookmarkStart w:id="60" w:name="_Toc407084291"/>
      <w:bookmarkStart w:id="61" w:name="_Toc407083457"/>
      <w:bookmarkStart w:id="62" w:name="_Toc407081801"/>
      <w:bookmarkStart w:id="63" w:name="_Toc407081658"/>
      <w:bookmarkStart w:id="64" w:name="_Toc407069693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rPr>
          <w:rFonts w:ascii="Tahoma" w:hAnsi="Tahoma" w:cs="Tahoma"/>
        </w:rPr>
        <w:t>Ogólne ustalenia dotyczące podstawy płatności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ustalenia dotyczące podstawy płatności podano w STWiORB D-M-00.00.00 „Wymagania ogólne” pkt 9.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</w:rPr>
      </w:pPr>
      <w:bookmarkStart w:id="65" w:name="_Toc407086034"/>
      <w:bookmarkStart w:id="66" w:name="_Toc407085586"/>
      <w:bookmarkStart w:id="67" w:name="_Toc407085443"/>
      <w:bookmarkStart w:id="68" w:name="_Toc407085300"/>
      <w:bookmarkStart w:id="69" w:name="_Toc407084181"/>
      <w:bookmarkStart w:id="70" w:name="_Toc407083347"/>
      <w:bookmarkStart w:id="71" w:name="_Toc407081548"/>
      <w:bookmarkStart w:id="72" w:name="_Toc407069583"/>
      <w:bookmarkStart w:id="73" w:name="_Toc406984375"/>
      <w:bookmarkStart w:id="74" w:name="_Toc406984184"/>
      <w:bookmarkStart w:id="75" w:name="_Toc406984037"/>
      <w:bookmarkStart w:id="76" w:name="_Toc406915344"/>
      <w:bookmarkStart w:id="77" w:name="_Toc406914766"/>
      <w:bookmarkStart w:id="78" w:name="_Toc406914112"/>
      <w:bookmarkStart w:id="79" w:name="_Toc406913867"/>
      <w:r>
        <w:rPr>
          <w:rFonts w:ascii="Tahoma" w:hAnsi="Tahoma" w:cs="Tahoma"/>
        </w:rPr>
        <w:t>Cena jednostki obmiarowej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Cena za wykonanie oczyszczenia i skropienia warstw konstrukcyjnych obejmuje:</w:t>
      </w:r>
    </w:p>
    <w:p w:rsidR="00E31CCC" w:rsidRDefault="002E1A55">
      <w:pPr>
        <w:numPr>
          <w:ilvl w:val="0"/>
          <w:numId w:val="4"/>
        </w:numPr>
        <w:spacing w:befor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oznakowanie i utrzymanie oznakowania robót,</w:t>
      </w:r>
    </w:p>
    <w:p w:rsidR="00E31CCC" w:rsidRDefault="002E1A55">
      <w:pPr>
        <w:numPr>
          <w:ilvl w:val="0"/>
          <w:numId w:val="4"/>
        </w:numPr>
        <w:spacing w:befor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mechaniczne oczyszczenie każdej niżej położonej warstwy konstrukcyjnej nawierzchni z ewentualnym polewaniem wodą lub użyciem sprężonego powietrza, w zależności od potrzeb,</w:t>
      </w:r>
    </w:p>
    <w:p w:rsidR="00E31CCC" w:rsidRDefault="002E1A55">
      <w:pPr>
        <w:numPr>
          <w:ilvl w:val="0"/>
          <w:numId w:val="4"/>
        </w:numPr>
        <w:spacing w:befor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ręczne odspojenie stwardniałych zanieczyszczeń,</w:t>
      </w:r>
    </w:p>
    <w:p w:rsidR="00E31CCC" w:rsidRDefault="002E1A55">
      <w:pPr>
        <w:numPr>
          <w:ilvl w:val="0"/>
          <w:numId w:val="4"/>
        </w:numPr>
        <w:spacing w:befor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zakup i transport materiałów,</w:t>
      </w:r>
    </w:p>
    <w:p w:rsidR="00E31CCC" w:rsidRDefault="002E1A55">
      <w:pPr>
        <w:numPr>
          <w:ilvl w:val="0"/>
          <w:numId w:val="4"/>
        </w:numPr>
        <w:spacing w:befor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dostarczenie lepiszcza i napełnienie nim skrapiarek oraz podgrzanie do wymaganej temperatury,</w:t>
      </w:r>
    </w:p>
    <w:p w:rsidR="00E31CCC" w:rsidRDefault="002E1A55">
      <w:pPr>
        <w:numPr>
          <w:ilvl w:val="0"/>
          <w:numId w:val="4"/>
        </w:numPr>
        <w:spacing w:befor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skropienie warstwy lepiszczem w ilości określonej w STWiORB,</w:t>
      </w:r>
    </w:p>
    <w:p w:rsidR="00E31CCC" w:rsidRDefault="002E1A55">
      <w:pPr>
        <w:numPr>
          <w:ilvl w:val="0"/>
          <w:numId w:val="4"/>
        </w:numPr>
        <w:spacing w:befor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przeprowadzenie pomiarów i badań laboratoryjnych wymaganych w STWiORB.</w:t>
      </w:r>
    </w:p>
    <w:p w:rsidR="00E31CCC" w:rsidRDefault="002E1A55">
      <w:pPr>
        <w:pStyle w:val="Nagwek11"/>
        <w:numPr>
          <w:ilvl w:val="0"/>
          <w:numId w:val="2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PRZEPISY ZWIĄZANE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Normy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przypadku braku datowania danej normy przywołanie dotyczy najnowszego jej wydania. W pozostałych przypadkach dotyczy wskazanego datowania.</w:t>
      </w:r>
    </w:p>
    <w:tbl>
      <w:tblPr>
        <w:tblW w:w="942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655"/>
      </w:tblGrid>
      <w:tr w:rsidR="00E31CCC">
        <w:trPr>
          <w:cantSplit/>
        </w:trPr>
        <w:tc>
          <w:tcPr>
            <w:tcW w:w="1771" w:type="dxa"/>
          </w:tcPr>
          <w:p w:rsidR="00E31CCC" w:rsidRDefault="002E1A55">
            <w:pPr>
              <w:rPr>
                <w:rFonts w:ascii="Tahoma" w:hAnsi="Tahoma" w:cs="Tahoma"/>
                <w:iCs w:val="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13808</w:t>
            </w:r>
            <w:r>
              <w:rPr>
                <w:rFonts w:ascii="Tahoma" w:hAnsi="Tahoma" w:cs="Tahoma"/>
                <w:iCs w:val="0"/>
                <w:sz w:val="20"/>
                <w:szCs w:val="20"/>
              </w:rPr>
              <w:t>:</w:t>
            </w:r>
          </w:p>
          <w:p w:rsidR="00E31CCC" w:rsidRDefault="002E1A55">
            <w:pPr>
              <w:spacing w:before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iCs w:val="0"/>
                <w:sz w:val="20"/>
                <w:szCs w:val="20"/>
              </w:rPr>
              <w:t>2013-10/Ap1</w:t>
            </w:r>
          </w:p>
        </w:tc>
        <w:tc>
          <w:tcPr>
            <w:tcW w:w="7654" w:type="dxa"/>
          </w:tcPr>
          <w:p w:rsidR="00E31CCC" w:rsidRDefault="002E1A5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Asfalty i lepiszcza asfaltowe. Zasady klasyfikacji kationowych emulsji asfaltowych.</w:t>
            </w:r>
          </w:p>
        </w:tc>
      </w:tr>
      <w:tr w:rsidR="00E31CCC">
        <w:trPr>
          <w:cantSplit/>
        </w:trPr>
        <w:tc>
          <w:tcPr>
            <w:tcW w:w="1771" w:type="dxa"/>
          </w:tcPr>
          <w:p w:rsidR="00E31CCC" w:rsidRDefault="002E1A5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12272-1</w:t>
            </w:r>
          </w:p>
        </w:tc>
        <w:tc>
          <w:tcPr>
            <w:tcW w:w="7654" w:type="dxa"/>
          </w:tcPr>
          <w:p w:rsidR="00E31CCC" w:rsidRDefault="002E1A5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Powierzchniowe utrwalenia. Metody bada</w:t>
            </w:r>
            <w:r>
              <w:rPr>
                <w:rFonts w:ascii="Tahoma" w:eastAsia="TimesNewRoman" w:hAnsi="Tahoma" w:cs="Tahoma"/>
                <w:sz w:val="20"/>
                <w:szCs w:val="20"/>
              </w:rPr>
              <w:t>ń</w:t>
            </w:r>
            <w:r>
              <w:rPr>
                <w:rFonts w:ascii="Tahoma" w:hAnsi="Tahoma" w:cs="Tahoma"/>
                <w:sz w:val="20"/>
                <w:szCs w:val="20"/>
              </w:rPr>
              <w:t>. Cz</w:t>
            </w:r>
            <w:r>
              <w:rPr>
                <w:rFonts w:ascii="Tahoma" w:eastAsia="TimesNewRoman" w:hAnsi="Tahoma" w:cs="Tahoma"/>
                <w:sz w:val="20"/>
                <w:szCs w:val="20"/>
              </w:rPr>
              <w:t xml:space="preserve">ęść </w:t>
            </w:r>
            <w:r>
              <w:rPr>
                <w:rFonts w:ascii="Tahoma" w:hAnsi="Tahoma" w:cs="Tahoma"/>
                <w:sz w:val="20"/>
                <w:szCs w:val="20"/>
              </w:rPr>
              <w:t>1: Dozowanie i poprzeczny rozkład lepiszcza i kruszywa</w:t>
            </w:r>
          </w:p>
        </w:tc>
      </w:tr>
      <w:tr w:rsidR="00E31CCC">
        <w:trPr>
          <w:cantSplit/>
        </w:trPr>
        <w:tc>
          <w:tcPr>
            <w:tcW w:w="1771" w:type="dxa"/>
          </w:tcPr>
          <w:p w:rsidR="00E31CCC" w:rsidRDefault="002E1A5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58</w:t>
            </w:r>
          </w:p>
        </w:tc>
        <w:tc>
          <w:tcPr>
            <w:tcW w:w="7654" w:type="dxa"/>
          </w:tcPr>
          <w:p w:rsidR="00E31CCC" w:rsidRDefault="002E1A5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Asfalty i lepiszcza asfaltowe -- Pobieranie próbek lepiszczy asfaltowych</w:t>
            </w:r>
          </w:p>
        </w:tc>
      </w:tr>
      <w:tr w:rsidR="00E31CCC">
        <w:trPr>
          <w:cantSplit/>
        </w:trPr>
        <w:tc>
          <w:tcPr>
            <w:tcW w:w="1771" w:type="dxa"/>
          </w:tcPr>
          <w:p w:rsidR="00E31CCC" w:rsidRDefault="002E1A5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PN-EN 12594</w:t>
            </w:r>
          </w:p>
        </w:tc>
        <w:tc>
          <w:tcPr>
            <w:tcW w:w="7654" w:type="dxa"/>
          </w:tcPr>
          <w:p w:rsidR="00E31CCC" w:rsidRDefault="002E1A5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Asfalty i lepiszcza asfaltowe -- Przygotowanie próbek do badań</w:t>
            </w:r>
          </w:p>
        </w:tc>
      </w:tr>
    </w:tbl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Polskie Normy powołane w WT-2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Polskie Normy powołane w PN-EN 13808</w:t>
      </w:r>
      <w:r>
        <w:rPr>
          <w:rFonts w:ascii="Tahoma" w:hAnsi="Tahoma" w:cs="Tahoma"/>
          <w:iCs w:val="0"/>
          <w:sz w:val="20"/>
          <w:szCs w:val="20"/>
        </w:rPr>
        <w:t>:2013-10/Ap1</w:t>
      </w:r>
    </w:p>
    <w:p w:rsidR="00E31CCC" w:rsidRDefault="002E1A55">
      <w:pPr>
        <w:pStyle w:val="Nagwek21"/>
        <w:numPr>
          <w:ilvl w:val="1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Inne dokumenty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WT-2 2014 Nawierzchnie asfaltowe na drogach krajowych, część I.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WT-2 „Nawierzchnie asfaltowe na drogach krajowych” WT-2 część II 2016. Wykonanie warstw nawierzchni asfaltowych. Wymagania techniczne - Załącznik do zarządzenia Nr 7 Generalnego Dyrektora Dróg Krajowych i Autostrad z dnia 09.05.2016 r.</w:t>
      </w:r>
    </w:p>
    <w:p w:rsidR="00E31CCC" w:rsidRDefault="002E1A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„Instrukcja laboratoryjnego badania sczepności międzywarstwowej warstw asfaltowych wg metody Leutnera i wymagania techniczne sczepności. 2014” - GDDKiA, Politechnika Gdańska, Gdańsk 2014.</w:t>
      </w:r>
    </w:p>
    <w:sectPr w:rsidR="00E31CCC" w:rsidSect="00E31CCC">
      <w:footerReference w:type="default" r:id="rId8"/>
      <w:pgSz w:w="11906" w:h="16838"/>
      <w:pgMar w:top="1418" w:right="1418" w:bottom="1418" w:left="1418" w:header="0" w:footer="70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719" w:rsidRDefault="00BB5719" w:rsidP="00E31CCC">
      <w:pPr>
        <w:spacing w:before="0"/>
      </w:pPr>
      <w:r>
        <w:separator/>
      </w:r>
    </w:p>
  </w:endnote>
  <w:endnote w:type="continuationSeparator" w:id="0">
    <w:p w:rsidR="00BB5719" w:rsidRDefault="00BB5719" w:rsidP="00E31C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CCC" w:rsidRDefault="00FD24BD">
    <w:pPr>
      <w:pStyle w:val="Stopka1"/>
      <w:jc w:val="right"/>
      <w:rPr>
        <w:sz w:val="18"/>
        <w:szCs w:val="18"/>
      </w:rPr>
    </w:pPr>
    <w:r>
      <w:rPr>
        <w:sz w:val="18"/>
        <w:szCs w:val="18"/>
      </w:rPr>
      <w:fldChar w:fldCharType="begin"/>
    </w:r>
    <w:r w:rsidR="002E1A55"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BB5719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:rsidR="00E31CCC" w:rsidRDefault="00E31CCC">
    <w:pPr>
      <w:pStyle w:val="Stopka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719" w:rsidRDefault="00BB5719" w:rsidP="00E31CCC">
      <w:pPr>
        <w:spacing w:before="0"/>
      </w:pPr>
      <w:r>
        <w:separator/>
      </w:r>
    </w:p>
  </w:footnote>
  <w:footnote w:type="continuationSeparator" w:id="0">
    <w:p w:rsidR="00BB5719" w:rsidRDefault="00BB5719" w:rsidP="00E31C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B612F"/>
    <w:multiLevelType w:val="multilevel"/>
    <w:tmpl w:val="2550F2B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99B03A3"/>
    <w:multiLevelType w:val="multilevel"/>
    <w:tmpl w:val="8CA0545E"/>
    <w:lvl w:ilvl="0">
      <w:start w:val="1"/>
      <w:numFmt w:val="decimal"/>
      <w:lvlText w:val="%1."/>
      <w:lvlJc w:val="left"/>
      <w:pPr>
        <w:tabs>
          <w:tab w:val="num" w:pos="680"/>
        </w:tabs>
        <w:ind w:left="0" w:firstLine="0"/>
      </w:pPr>
      <w:rPr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0"/>
      </w:pPr>
      <w:rPr>
        <w:b w:val="0"/>
        <w:i w:val="0"/>
        <w:sz w:val="20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b/>
        <w:i w:val="0"/>
        <w:sz w:val="18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21795C48"/>
    <w:multiLevelType w:val="multilevel"/>
    <w:tmpl w:val="22765390"/>
    <w:lvl w:ilvl="0">
      <w:start w:val="1"/>
      <w:numFmt w:val="decimal"/>
      <w:pStyle w:val="Nagwek11"/>
      <w:lvlText w:val="%1."/>
      <w:lvlJc w:val="left"/>
      <w:pPr>
        <w:tabs>
          <w:tab w:val="num" w:pos="680"/>
        </w:tabs>
        <w:ind w:left="0" w:firstLine="0"/>
      </w:pPr>
      <w:rPr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1"/>
      <w:lvlText w:val="%1.%2."/>
      <w:lvlJc w:val="left"/>
      <w:pPr>
        <w:tabs>
          <w:tab w:val="num" w:pos="68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1"/>
      <w:lvlText w:val="%1.%2.%3."/>
      <w:lvlJc w:val="left"/>
      <w:pPr>
        <w:tabs>
          <w:tab w:val="num" w:pos="680"/>
        </w:tabs>
        <w:ind w:left="0" w:firstLine="0"/>
      </w:pPr>
      <w:rPr>
        <w:b w:val="0"/>
        <w:i w:val="0"/>
        <w:sz w:val="20"/>
        <w:szCs w:val="18"/>
      </w:rPr>
    </w:lvl>
    <w:lvl w:ilvl="3">
      <w:start w:val="1"/>
      <w:numFmt w:val="decimal"/>
      <w:pStyle w:val="Nagwek41"/>
      <w:lvlText w:val="%1.%2.%3.%4."/>
      <w:lvlJc w:val="left"/>
      <w:pPr>
        <w:tabs>
          <w:tab w:val="num" w:pos="851"/>
        </w:tabs>
        <w:ind w:left="0" w:firstLine="0"/>
      </w:pPr>
      <w:rPr>
        <w:b/>
        <w:i w:val="0"/>
        <w:sz w:val="18"/>
        <w:szCs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DD35DFE"/>
    <w:multiLevelType w:val="multilevel"/>
    <w:tmpl w:val="554EEEB4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CCC"/>
    <w:rsid w:val="00020CE3"/>
    <w:rsid w:val="00040E10"/>
    <w:rsid w:val="000D7774"/>
    <w:rsid w:val="00100E3C"/>
    <w:rsid w:val="00115B26"/>
    <w:rsid w:val="00117B52"/>
    <w:rsid w:val="001469F1"/>
    <w:rsid w:val="0015785B"/>
    <w:rsid w:val="001D0257"/>
    <w:rsid w:val="001F636E"/>
    <w:rsid w:val="002A6B03"/>
    <w:rsid w:val="002C04AF"/>
    <w:rsid w:val="002E1A55"/>
    <w:rsid w:val="002E1E74"/>
    <w:rsid w:val="0032608B"/>
    <w:rsid w:val="003551E9"/>
    <w:rsid w:val="00366798"/>
    <w:rsid w:val="0039191B"/>
    <w:rsid w:val="003C78B1"/>
    <w:rsid w:val="00451B45"/>
    <w:rsid w:val="0045487F"/>
    <w:rsid w:val="00481FB6"/>
    <w:rsid w:val="00513C21"/>
    <w:rsid w:val="00573520"/>
    <w:rsid w:val="00576155"/>
    <w:rsid w:val="005F5556"/>
    <w:rsid w:val="006577DC"/>
    <w:rsid w:val="006704A5"/>
    <w:rsid w:val="00697E18"/>
    <w:rsid w:val="006E72EF"/>
    <w:rsid w:val="00727344"/>
    <w:rsid w:val="00742B9E"/>
    <w:rsid w:val="00750871"/>
    <w:rsid w:val="00754672"/>
    <w:rsid w:val="007774E7"/>
    <w:rsid w:val="00796288"/>
    <w:rsid w:val="007B756F"/>
    <w:rsid w:val="007C441E"/>
    <w:rsid w:val="007F4B7A"/>
    <w:rsid w:val="007F72C4"/>
    <w:rsid w:val="00843EA7"/>
    <w:rsid w:val="0085558B"/>
    <w:rsid w:val="008700CE"/>
    <w:rsid w:val="00873780"/>
    <w:rsid w:val="008B504F"/>
    <w:rsid w:val="008C3E3F"/>
    <w:rsid w:val="008C4FC8"/>
    <w:rsid w:val="009127E8"/>
    <w:rsid w:val="009869D6"/>
    <w:rsid w:val="00990F32"/>
    <w:rsid w:val="009D7416"/>
    <w:rsid w:val="00A00177"/>
    <w:rsid w:val="00A41ED7"/>
    <w:rsid w:val="00AA7401"/>
    <w:rsid w:val="00AC68B9"/>
    <w:rsid w:val="00B03664"/>
    <w:rsid w:val="00B46DA7"/>
    <w:rsid w:val="00B96D73"/>
    <w:rsid w:val="00BA115D"/>
    <w:rsid w:val="00BB5719"/>
    <w:rsid w:val="00BC3D69"/>
    <w:rsid w:val="00BE7721"/>
    <w:rsid w:val="00BF3EB5"/>
    <w:rsid w:val="00C121B9"/>
    <w:rsid w:val="00C6648D"/>
    <w:rsid w:val="00CB6D17"/>
    <w:rsid w:val="00CC6D3C"/>
    <w:rsid w:val="00CF20D8"/>
    <w:rsid w:val="00D20799"/>
    <w:rsid w:val="00E006DD"/>
    <w:rsid w:val="00E21FAC"/>
    <w:rsid w:val="00E31CCC"/>
    <w:rsid w:val="00E320EC"/>
    <w:rsid w:val="00E83C28"/>
    <w:rsid w:val="00E91546"/>
    <w:rsid w:val="00EB740D"/>
    <w:rsid w:val="00EC517F"/>
    <w:rsid w:val="00EE4A3F"/>
    <w:rsid w:val="00F01029"/>
    <w:rsid w:val="00F1587B"/>
    <w:rsid w:val="00F23D2E"/>
    <w:rsid w:val="00F75DC3"/>
    <w:rsid w:val="00FB2D04"/>
    <w:rsid w:val="00FB6D98"/>
    <w:rsid w:val="00FD24BD"/>
    <w:rsid w:val="00FE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6D96"/>
    <w:pPr>
      <w:spacing w:before="60"/>
      <w:jc w:val="both"/>
    </w:pPr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1"/>
    <w:qFormat/>
    <w:rsid w:val="00526D96"/>
    <w:pPr>
      <w:keepNext/>
      <w:numPr>
        <w:numId w:val="1"/>
      </w:numPr>
      <w:spacing w:before="240"/>
      <w:jc w:val="left"/>
      <w:outlineLvl w:val="0"/>
    </w:pPr>
    <w:rPr>
      <w:b/>
      <w:bCs w:val="0"/>
      <w:caps/>
      <w:kern w:val="2"/>
      <w:szCs w:val="20"/>
    </w:rPr>
  </w:style>
  <w:style w:type="paragraph" w:customStyle="1" w:styleId="Nagwek21">
    <w:name w:val="Nagłówek 21"/>
    <w:basedOn w:val="Normalny"/>
    <w:next w:val="Normalny"/>
    <w:link w:val="Nagwek2Znak1"/>
    <w:qFormat/>
    <w:rsid w:val="00526D96"/>
    <w:pPr>
      <w:keepNext/>
      <w:numPr>
        <w:ilvl w:val="1"/>
        <w:numId w:val="1"/>
      </w:numPr>
      <w:spacing w:before="120"/>
      <w:outlineLvl w:val="1"/>
    </w:pPr>
    <w:rPr>
      <w:b/>
      <w:bCs w:val="0"/>
      <w:iCs w:val="0"/>
      <w:kern w:val="2"/>
    </w:rPr>
  </w:style>
  <w:style w:type="paragraph" w:customStyle="1" w:styleId="Nagwek31">
    <w:name w:val="Nagłówek 31"/>
    <w:basedOn w:val="Normalny"/>
    <w:next w:val="Normalny"/>
    <w:link w:val="Nagwek3Znak1"/>
    <w:qFormat/>
    <w:rsid w:val="00526D96"/>
    <w:pPr>
      <w:keepNext/>
      <w:numPr>
        <w:ilvl w:val="2"/>
        <w:numId w:val="1"/>
      </w:numPr>
      <w:outlineLvl w:val="2"/>
    </w:pPr>
    <w:rPr>
      <w:b/>
      <w:bCs w:val="0"/>
      <w:szCs w:val="26"/>
    </w:rPr>
  </w:style>
  <w:style w:type="paragraph" w:customStyle="1" w:styleId="Nagwek41">
    <w:name w:val="Nagłówek 41"/>
    <w:basedOn w:val="Normalny"/>
    <w:next w:val="Normalny"/>
    <w:link w:val="Nagwek4Znak"/>
    <w:qFormat/>
    <w:rsid w:val="00526D96"/>
    <w:pPr>
      <w:keepNext/>
      <w:numPr>
        <w:ilvl w:val="3"/>
        <w:numId w:val="1"/>
      </w:numPr>
      <w:outlineLvl w:val="3"/>
    </w:pPr>
    <w:rPr>
      <w:rFonts w:cs="Times New Roman"/>
      <w:szCs w:val="20"/>
    </w:rPr>
  </w:style>
  <w:style w:type="character" w:customStyle="1" w:styleId="Nagwek1Znak">
    <w:name w:val="Nagłówek 1 Znak"/>
    <w:basedOn w:val="Domylnaczcionkaakapitu"/>
    <w:uiPriority w:val="9"/>
    <w:qFormat/>
    <w:rsid w:val="00526D96"/>
    <w:rPr>
      <w:rFonts w:asciiTheme="majorHAnsi" w:eastAsiaTheme="majorEastAsia" w:hAnsiTheme="majorHAnsi" w:cstheme="majorBidi"/>
      <w:b/>
      <w:i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uiPriority w:val="9"/>
    <w:semiHidden/>
    <w:qFormat/>
    <w:rsid w:val="00526D96"/>
    <w:rPr>
      <w:rFonts w:asciiTheme="majorHAnsi" w:eastAsiaTheme="majorEastAsia" w:hAnsiTheme="majorHAnsi" w:cstheme="majorBidi"/>
      <w:b/>
      <w:i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uiPriority w:val="9"/>
    <w:semiHidden/>
    <w:qFormat/>
    <w:rsid w:val="00526D96"/>
    <w:rPr>
      <w:rFonts w:asciiTheme="majorHAnsi" w:eastAsiaTheme="majorEastAsia" w:hAnsiTheme="majorHAnsi" w:cstheme="majorBidi"/>
      <w:b/>
      <w:iCs/>
      <w:color w:val="4F81BD" w:themeColor="accent1"/>
      <w:sz w:val="1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1"/>
    <w:qFormat/>
    <w:rsid w:val="00526D96"/>
    <w:rPr>
      <w:rFonts w:ascii="Arial" w:eastAsia="Times New Roman" w:hAnsi="Arial" w:cs="Times New Roman"/>
      <w:bCs/>
      <w:iCs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526D96"/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526D96"/>
    <w:rPr>
      <w:rFonts w:ascii="Arial" w:eastAsia="Times New Roman" w:hAnsi="Arial" w:cs="Arial"/>
      <w:bCs/>
      <w:iCs/>
      <w:sz w:val="14"/>
      <w:szCs w:val="24"/>
      <w:lang w:eastAsia="pl-PL"/>
    </w:rPr>
  </w:style>
  <w:style w:type="character" w:customStyle="1" w:styleId="normalny3Znak">
    <w:name w:val="normalny 3 Znak"/>
    <w:qFormat/>
    <w:rsid w:val="00526D96"/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customStyle="1" w:styleId="TabelaZnak">
    <w:name w:val="Tabela Znak"/>
    <w:link w:val="Tabela"/>
    <w:qFormat/>
    <w:rsid w:val="00526D96"/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customStyle="1" w:styleId="StylPierwszywiersz05cmZnak">
    <w:name w:val="Styl Pierwszy wiersz:  05 cm Znak"/>
    <w:link w:val="StylPierwszywiersz05cm"/>
    <w:qFormat/>
    <w:rsid w:val="00526D96"/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customStyle="1" w:styleId="Nagwek3Znak1">
    <w:name w:val="Nagłówek 3 Znak1"/>
    <w:link w:val="Nagwek31"/>
    <w:qFormat/>
    <w:rsid w:val="00526D96"/>
    <w:rPr>
      <w:rFonts w:ascii="Arial" w:eastAsia="Times New Roman" w:hAnsi="Arial" w:cs="Arial"/>
      <w:b/>
      <w:iCs/>
      <w:sz w:val="18"/>
      <w:szCs w:val="26"/>
      <w:lang w:eastAsia="pl-PL"/>
    </w:rPr>
  </w:style>
  <w:style w:type="character" w:customStyle="1" w:styleId="Nagwek2Znak1">
    <w:name w:val="Nagłówek 2 Znak1"/>
    <w:link w:val="Nagwek21"/>
    <w:qFormat/>
    <w:rsid w:val="00526D96"/>
    <w:rPr>
      <w:rFonts w:ascii="Arial" w:eastAsia="Times New Roman" w:hAnsi="Arial" w:cs="Arial"/>
      <w:b/>
      <w:kern w:val="2"/>
      <w:sz w:val="18"/>
      <w:szCs w:val="24"/>
      <w:lang w:eastAsia="pl-PL"/>
    </w:rPr>
  </w:style>
  <w:style w:type="character" w:customStyle="1" w:styleId="Nagwek1Znak1">
    <w:name w:val="Nagłówek 1 Znak1"/>
    <w:link w:val="Nagwek11"/>
    <w:qFormat/>
    <w:rsid w:val="00526D96"/>
    <w:rPr>
      <w:rFonts w:ascii="Arial" w:eastAsia="Times New Roman" w:hAnsi="Arial" w:cs="Arial"/>
      <w:b/>
      <w:iCs/>
      <w:caps/>
      <w:kern w:val="2"/>
      <w:sz w:val="18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E31CC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E31CCC"/>
    <w:pPr>
      <w:spacing w:before="0" w:after="140" w:line="276" w:lineRule="auto"/>
    </w:pPr>
  </w:style>
  <w:style w:type="paragraph" w:styleId="Lista">
    <w:name w:val="List"/>
    <w:basedOn w:val="Tekstpodstawowy"/>
    <w:rsid w:val="00E31CCC"/>
  </w:style>
  <w:style w:type="paragraph" w:customStyle="1" w:styleId="Legenda1">
    <w:name w:val="Legenda1"/>
    <w:basedOn w:val="Normalny"/>
    <w:qFormat/>
    <w:rsid w:val="00E31CCC"/>
    <w:pPr>
      <w:suppressLineNumbers/>
      <w:spacing w:before="120" w:after="120"/>
    </w:pPr>
    <w:rPr>
      <w:i/>
      <w:sz w:val="24"/>
    </w:rPr>
  </w:style>
  <w:style w:type="paragraph" w:customStyle="1" w:styleId="Indeks">
    <w:name w:val="Indeks"/>
    <w:basedOn w:val="Normalny"/>
    <w:qFormat/>
    <w:rsid w:val="00E31CCC"/>
    <w:pPr>
      <w:suppressLineNumbers/>
    </w:pPr>
  </w:style>
  <w:style w:type="paragraph" w:customStyle="1" w:styleId="Gwkaistopka">
    <w:name w:val="Główka i stopka"/>
    <w:basedOn w:val="Normalny"/>
    <w:qFormat/>
    <w:rsid w:val="00E31CCC"/>
  </w:style>
  <w:style w:type="paragraph" w:customStyle="1" w:styleId="Nagwek1">
    <w:name w:val="Nagłówek1"/>
    <w:basedOn w:val="Normalny"/>
    <w:rsid w:val="00526D96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rsid w:val="00526D96"/>
    <w:pPr>
      <w:tabs>
        <w:tab w:val="center" w:pos="4536"/>
        <w:tab w:val="right" w:pos="9072"/>
      </w:tabs>
    </w:pPr>
    <w:rPr>
      <w:sz w:val="14"/>
    </w:rPr>
  </w:style>
  <w:style w:type="paragraph" w:customStyle="1" w:styleId="normalny3">
    <w:name w:val="normalny 3"/>
    <w:basedOn w:val="Normalny"/>
    <w:qFormat/>
    <w:rsid w:val="00526D96"/>
  </w:style>
  <w:style w:type="paragraph" w:customStyle="1" w:styleId="Tabela">
    <w:name w:val="Tabela"/>
    <w:basedOn w:val="Normalny"/>
    <w:link w:val="TabelaZnak"/>
    <w:qFormat/>
    <w:rsid w:val="00526D96"/>
    <w:pPr>
      <w:spacing w:before="0"/>
      <w:jc w:val="center"/>
    </w:pPr>
  </w:style>
  <w:style w:type="paragraph" w:customStyle="1" w:styleId="TytuSST">
    <w:name w:val="Tytuł SST"/>
    <w:basedOn w:val="Normalny"/>
    <w:qFormat/>
    <w:rsid w:val="00526D96"/>
    <w:pPr>
      <w:tabs>
        <w:tab w:val="left" w:pos="1701"/>
        <w:tab w:val="left" w:pos="2126"/>
      </w:tabs>
      <w:jc w:val="left"/>
    </w:pPr>
    <w:rPr>
      <w:b/>
      <w:caps/>
      <w:sz w:val="22"/>
    </w:rPr>
  </w:style>
  <w:style w:type="paragraph" w:customStyle="1" w:styleId="StylPierwszywiersz05cm">
    <w:name w:val="Styl Pierwszy wiersz:  05 cm"/>
    <w:basedOn w:val="Normalny"/>
    <w:next w:val="Normalny"/>
    <w:link w:val="StylPierwszywiersz05cmZnak"/>
    <w:qFormat/>
    <w:rsid w:val="00526D96"/>
    <w:pPr>
      <w:tabs>
        <w:tab w:val="left" w:pos="737"/>
      </w:tabs>
      <w:ind w:firstLine="567"/>
    </w:pPr>
  </w:style>
  <w:style w:type="paragraph" w:styleId="Akapitzlist">
    <w:name w:val="List Paragraph"/>
    <w:basedOn w:val="Normalny"/>
    <w:uiPriority w:val="34"/>
    <w:qFormat/>
    <w:rsid w:val="00A702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0E3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0E3C"/>
    <w:rPr>
      <w:rFonts w:ascii="Tahoma" w:eastAsia="Times New Roman" w:hAnsi="Tahoma" w:cs="Tahoma"/>
      <w:bCs/>
      <w:iCs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6D96"/>
    <w:pPr>
      <w:spacing w:before="60"/>
      <w:jc w:val="both"/>
    </w:pPr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1"/>
    <w:qFormat/>
    <w:rsid w:val="00526D96"/>
    <w:pPr>
      <w:keepNext/>
      <w:numPr>
        <w:numId w:val="1"/>
      </w:numPr>
      <w:spacing w:before="240"/>
      <w:jc w:val="left"/>
      <w:outlineLvl w:val="0"/>
    </w:pPr>
    <w:rPr>
      <w:b/>
      <w:bCs w:val="0"/>
      <w:caps/>
      <w:kern w:val="2"/>
      <w:szCs w:val="20"/>
    </w:rPr>
  </w:style>
  <w:style w:type="paragraph" w:customStyle="1" w:styleId="Nagwek21">
    <w:name w:val="Nagłówek 21"/>
    <w:basedOn w:val="Normalny"/>
    <w:next w:val="Normalny"/>
    <w:link w:val="Nagwek2Znak1"/>
    <w:qFormat/>
    <w:rsid w:val="00526D96"/>
    <w:pPr>
      <w:keepNext/>
      <w:numPr>
        <w:ilvl w:val="1"/>
        <w:numId w:val="1"/>
      </w:numPr>
      <w:spacing w:before="120"/>
      <w:outlineLvl w:val="1"/>
    </w:pPr>
    <w:rPr>
      <w:b/>
      <w:bCs w:val="0"/>
      <w:iCs w:val="0"/>
      <w:kern w:val="2"/>
    </w:rPr>
  </w:style>
  <w:style w:type="paragraph" w:customStyle="1" w:styleId="Nagwek31">
    <w:name w:val="Nagłówek 31"/>
    <w:basedOn w:val="Normalny"/>
    <w:next w:val="Normalny"/>
    <w:link w:val="Nagwek3Znak1"/>
    <w:qFormat/>
    <w:rsid w:val="00526D96"/>
    <w:pPr>
      <w:keepNext/>
      <w:numPr>
        <w:ilvl w:val="2"/>
        <w:numId w:val="1"/>
      </w:numPr>
      <w:outlineLvl w:val="2"/>
    </w:pPr>
    <w:rPr>
      <w:b/>
      <w:bCs w:val="0"/>
      <w:szCs w:val="26"/>
    </w:rPr>
  </w:style>
  <w:style w:type="paragraph" w:customStyle="1" w:styleId="Nagwek41">
    <w:name w:val="Nagłówek 41"/>
    <w:basedOn w:val="Normalny"/>
    <w:next w:val="Normalny"/>
    <w:link w:val="Nagwek4Znak"/>
    <w:qFormat/>
    <w:rsid w:val="00526D96"/>
    <w:pPr>
      <w:keepNext/>
      <w:numPr>
        <w:ilvl w:val="3"/>
        <w:numId w:val="1"/>
      </w:numPr>
      <w:outlineLvl w:val="3"/>
    </w:pPr>
    <w:rPr>
      <w:rFonts w:cs="Times New Roman"/>
      <w:szCs w:val="20"/>
    </w:rPr>
  </w:style>
  <w:style w:type="character" w:customStyle="1" w:styleId="Nagwek1Znak">
    <w:name w:val="Nagłówek 1 Znak"/>
    <w:basedOn w:val="Domylnaczcionkaakapitu"/>
    <w:uiPriority w:val="9"/>
    <w:qFormat/>
    <w:rsid w:val="00526D96"/>
    <w:rPr>
      <w:rFonts w:asciiTheme="majorHAnsi" w:eastAsiaTheme="majorEastAsia" w:hAnsiTheme="majorHAnsi" w:cstheme="majorBidi"/>
      <w:b/>
      <w:i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uiPriority w:val="9"/>
    <w:semiHidden/>
    <w:qFormat/>
    <w:rsid w:val="00526D96"/>
    <w:rPr>
      <w:rFonts w:asciiTheme="majorHAnsi" w:eastAsiaTheme="majorEastAsia" w:hAnsiTheme="majorHAnsi" w:cstheme="majorBidi"/>
      <w:b/>
      <w:i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uiPriority w:val="9"/>
    <w:semiHidden/>
    <w:qFormat/>
    <w:rsid w:val="00526D96"/>
    <w:rPr>
      <w:rFonts w:asciiTheme="majorHAnsi" w:eastAsiaTheme="majorEastAsia" w:hAnsiTheme="majorHAnsi" w:cstheme="majorBidi"/>
      <w:b/>
      <w:iCs/>
      <w:color w:val="4F81BD" w:themeColor="accent1"/>
      <w:sz w:val="1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1"/>
    <w:qFormat/>
    <w:rsid w:val="00526D96"/>
    <w:rPr>
      <w:rFonts w:ascii="Arial" w:eastAsia="Times New Roman" w:hAnsi="Arial" w:cs="Times New Roman"/>
      <w:bCs/>
      <w:iCs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526D96"/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526D96"/>
    <w:rPr>
      <w:rFonts w:ascii="Arial" w:eastAsia="Times New Roman" w:hAnsi="Arial" w:cs="Arial"/>
      <w:bCs/>
      <w:iCs/>
      <w:sz w:val="14"/>
      <w:szCs w:val="24"/>
      <w:lang w:eastAsia="pl-PL"/>
    </w:rPr>
  </w:style>
  <w:style w:type="character" w:customStyle="1" w:styleId="normalny3Znak">
    <w:name w:val="normalny 3 Znak"/>
    <w:qFormat/>
    <w:rsid w:val="00526D96"/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customStyle="1" w:styleId="TabelaZnak">
    <w:name w:val="Tabela Znak"/>
    <w:link w:val="Tabela"/>
    <w:qFormat/>
    <w:rsid w:val="00526D96"/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customStyle="1" w:styleId="StylPierwszywiersz05cmZnak">
    <w:name w:val="Styl Pierwszy wiersz:  05 cm Znak"/>
    <w:link w:val="StylPierwszywiersz05cm"/>
    <w:qFormat/>
    <w:rsid w:val="00526D96"/>
    <w:rPr>
      <w:rFonts w:ascii="Arial" w:eastAsia="Times New Roman" w:hAnsi="Arial" w:cs="Arial"/>
      <w:bCs/>
      <w:iCs/>
      <w:sz w:val="18"/>
      <w:szCs w:val="24"/>
      <w:lang w:eastAsia="pl-PL"/>
    </w:rPr>
  </w:style>
  <w:style w:type="character" w:customStyle="1" w:styleId="Nagwek3Znak1">
    <w:name w:val="Nagłówek 3 Znak1"/>
    <w:link w:val="Nagwek31"/>
    <w:qFormat/>
    <w:rsid w:val="00526D96"/>
    <w:rPr>
      <w:rFonts w:ascii="Arial" w:eastAsia="Times New Roman" w:hAnsi="Arial" w:cs="Arial"/>
      <w:b/>
      <w:iCs/>
      <w:sz w:val="18"/>
      <w:szCs w:val="26"/>
      <w:lang w:eastAsia="pl-PL"/>
    </w:rPr>
  </w:style>
  <w:style w:type="character" w:customStyle="1" w:styleId="Nagwek2Znak1">
    <w:name w:val="Nagłówek 2 Znak1"/>
    <w:link w:val="Nagwek21"/>
    <w:qFormat/>
    <w:rsid w:val="00526D96"/>
    <w:rPr>
      <w:rFonts w:ascii="Arial" w:eastAsia="Times New Roman" w:hAnsi="Arial" w:cs="Arial"/>
      <w:b/>
      <w:kern w:val="2"/>
      <w:sz w:val="18"/>
      <w:szCs w:val="24"/>
      <w:lang w:eastAsia="pl-PL"/>
    </w:rPr>
  </w:style>
  <w:style w:type="character" w:customStyle="1" w:styleId="Nagwek1Znak1">
    <w:name w:val="Nagłówek 1 Znak1"/>
    <w:link w:val="Nagwek11"/>
    <w:qFormat/>
    <w:rsid w:val="00526D96"/>
    <w:rPr>
      <w:rFonts w:ascii="Arial" w:eastAsia="Times New Roman" w:hAnsi="Arial" w:cs="Arial"/>
      <w:b/>
      <w:iCs/>
      <w:caps/>
      <w:kern w:val="2"/>
      <w:sz w:val="18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E31CC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E31CCC"/>
    <w:pPr>
      <w:spacing w:before="0" w:after="140" w:line="276" w:lineRule="auto"/>
    </w:pPr>
  </w:style>
  <w:style w:type="paragraph" w:styleId="Lista">
    <w:name w:val="List"/>
    <w:basedOn w:val="Tekstpodstawowy"/>
    <w:rsid w:val="00E31CCC"/>
  </w:style>
  <w:style w:type="paragraph" w:customStyle="1" w:styleId="Legenda1">
    <w:name w:val="Legenda1"/>
    <w:basedOn w:val="Normalny"/>
    <w:qFormat/>
    <w:rsid w:val="00E31CCC"/>
    <w:pPr>
      <w:suppressLineNumbers/>
      <w:spacing w:before="120" w:after="120"/>
    </w:pPr>
    <w:rPr>
      <w:i/>
      <w:sz w:val="24"/>
    </w:rPr>
  </w:style>
  <w:style w:type="paragraph" w:customStyle="1" w:styleId="Indeks">
    <w:name w:val="Indeks"/>
    <w:basedOn w:val="Normalny"/>
    <w:qFormat/>
    <w:rsid w:val="00E31CCC"/>
    <w:pPr>
      <w:suppressLineNumbers/>
    </w:pPr>
  </w:style>
  <w:style w:type="paragraph" w:customStyle="1" w:styleId="Gwkaistopka">
    <w:name w:val="Główka i stopka"/>
    <w:basedOn w:val="Normalny"/>
    <w:qFormat/>
    <w:rsid w:val="00E31CCC"/>
  </w:style>
  <w:style w:type="paragraph" w:customStyle="1" w:styleId="Nagwek1">
    <w:name w:val="Nagłówek1"/>
    <w:basedOn w:val="Normalny"/>
    <w:rsid w:val="00526D96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rsid w:val="00526D96"/>
    <w:pPr>
      <w:tabs>
        <w:tab w:val="center" w:pos="4536"/>
        <w:tab w:val="right" w:pos="9072"/>
      </w:tabs>
    </w:pPr>
    <w:rPr>
      <w:sz w:val="14"/>
    </w:rPr>
  </w:style>
  <w:style w:type="paragraph" w:customStyle="1" w:styleId="normalny3">
    <w:name w:val="normalny 3"/>
    <w:basedOn w:val="Normalny"/>
    <w:qFormat/>
    <w:rsid w:val="00526D96"/>
  </w:style>
  <w:style w:type="paragraph" w:customStyle="1" w:styleId="Tabela">
    <w:name w:val="Tabela"/>
    <w:basedOn w:val="Normalny"/>
    <w:link w:val="TabelaZnak"/>
    <w:qFormat/>
    <w:rsid w:val="00526D96"/>
    <w:pPr>
      <w:spacing w:before="0"/>
      <w:jc w:val="center"/>
    </w:pPr>
  </w:style>
  <w:style w:type="paragraph" w:customStyle="1" w:styleId="TytuSST">
    <w:name w:val="Tytuł SST"/>
    <w:basedOn w:val="Normalny"/>
    <w:qFormat/>
    <w:rsid w:val="00526D96"/>
    <w:pPr>
      <w:tabs>
        <w:tab w:val="left" w:pos="1701"/>
        <w:tab w:val="left" w:pos="2126"/>
      </w:tabs>
      <w:jc w:val="left"/>
    </w:pPr>
    <w:rPr>
      <w:b/>
      <w:caps/>
      <w:sz w:val="22"/>
    </w:rPr>
  </w:style>
  <w:style w:type="paragraph" w:customStyle="1" w:styleId="StylPierwszywiersz05cm">
    <w:name w:val="Styl Pierwszy wiersz:  05 cm"/>
    <w:basedOn w:val="Normalny"/>
    <w:next w:val="Normalny"/>
    <w:link w:val="StylPierwszywiersz05cmZnak"/>
    <w:qFormat/>
    <w:rsid w:val="00526D96"/>
    <w:pPr>
      <w:tabs>
        <w:tab w:val="left" w:pos="737"/>
      </w:tabs>
      <w:ind w:firstLine="567"/>
    </w:pPr>
  </w:style>
  <w:style w:type="paragraph" w:styleId="Akapitzlist">
    <w:name w:val="List Paragraph"/>
    <w:basedOn w:val="Normalny"/>
    <w:uiPriority w:val="34"/>
    <w:qFormat/>
    <w:rsid w:val="00A702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0E3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0E3C"/>
    <w:rPr>
      <w:rFonts w:ascii="Tahoma" w:eastAsia="Times New Roman" w:hAnsi="Tahoma" w:cs="Tahoma"/>
      <w:bCs/>
      <w:iCs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3301</Words>
  <Characters>19812</Characters>
  <Application>Microsoft Office Word</Application>
  <DocSecurity>0</DocSecurity>
  <Lines>165</Lines>
  <Paragraphs>46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47</vt:i4>
      </vt:variant>
    </vt:vector>
  </HeadingPairs>
  <TitlesOfParts>
    <vt:vector size="48" baseType="lpstr">
      <vt:lpstr/>
      <vt:lpstr>WSTĘP</vt:lpstr>
      <vt:lpstr>    Przedmiot STWiORB </vt:lpstr>
      <vt:lpstr>    Zakres stosowania STWiORB</vt:lpstr>
      <vt:lpstr>    Zakres Robót objętych STWiORB</vt:lpstr>
      <vt:lpstr>    Określenia podstawowe</vt:lpstr>
      <vt:lpstr>    Ogólne wymagania dotyczące Robót</vt:lpstr>
      <vt:lpstr>MATERIAŁY</vt:lpstr>
      <vt:lpstr>    Ogólne wymagania dotyczące materiałów</vt:lpstr>
      <vt:lpstr>    Rodzaje materiałów do wykonania skropienia</vt:lpstr>
      <vt:lpstr>        Do skropienia warstwy podbudowy z mieszanki niezwiązanej i związanej cementem, p</vt:lpstr>
      <vt:lpstr>        Do skropienia warstw konstrukcyjnych asfaltowych wykonanych z asfaltów niemodyfi</vt:lpstr>
      <vt:lpstr>        Do skropienia warstw konstrukcyjnych bitumicznych wykonanych z asfaltów modyfiko</vt:lpstr>
      <vt:lpstr>    Zużycie lepiszczy</vt:lpstr>
      <vt:lpstr>    Ochrona wykonanego skropienia</vt:lpstr>
      <vt:lpstr>SPRZĘT</vt:lpstr>
      <vt:lpstr>    Ogólne wymagania dotyczące sprzętu</vt:lpstr>
      <vt:lpstr>    Sprzęt do oczyszczenia warstw nawierzchni</vt:lpstr>
      <vt:lpstr>    Sprzęt do skrapiania warstw nawierzchni</vt:lpstr>
      <vt:lpstr>TRANSPORT</vt:lpstr>
      <vt:lpstr>    Ogólne wymagania dotyczące transportu</vt:lpstr>
      <vt:lpstr>    Transport lepiszczy</vt:lpstr>
      <vt:lpstr>WYKONANIE ROBÓT</vt:lpstr>
      <vt:lpstr>    Ogólne zasady wykonania robót</vt:lpstr>
      <vt:lpstr>    Oczyszczenie warstw nawierzchni</vt:lpstr>
      <vt:lpstr>    Dobór właściwej ilości skropienia</vt:lpstr>
      <vt:lpstr>    Skropienie warstw nawierzchni</vt:lpstr>
      <vt:lpstr>KONTROLA JAKOŚCI ROBÓT</vt:lpstr>
      <vt:lpstr>    Ogólne zasady kontroli jakości robót</vt:lpstr>
      <vt:lpstr>    Badania przed przystąpieniem do robót</vt:lpstr>
      <vt:lpstr>    Badania w czasie Robót</vt:lpstr>
      <vt:lpstr>        Wymagania dla połączenia międzywarstwowego</vt:lpstr>
      <vt:lpstr>        Badania lepiszczy</vt:lpstr>
      <vt:lpstr>        Sprawdzenie jednorodności skropienia i zużycia lepiszcza</vt:lpstr>
      <vt:lpstr>OBMIAR ROBÓT</vt:lpstr>
      <vt:lpstr>    Ogólne zasady obmiaru Robót</vt:lpstr>
      <vt:lpstr>    Ogólne zasady obmiaru Robót podano w STWiORB D-00.00.00 "Wymagania ogólne" pkt.7</vt:lpstr>
      <vt:lpstr>    Jednostka obmiarowa</vt:lpstr>
      <vt:lpstr>    Obmiar oczyszczonej i skropionej powierzchni warstwy powinien być dokonany w met</vt:lpstr>
      <vt:lpstr>ODBIÓR ROBÓT</vt:lpstr>
      <vt:lpstr>    Ogólne zasady odbioru robót</vt:lpstr>
      <vt:lpstr>    Sposób odbioru robót</vt:lpstr>
      <vt:lpstr>PODSTAWA PŁATNOŚCI</vt:lpstr>
      <vt:lpstr>    Ogólne ustalenia dotyczące podstawy płatności</vt:lpstr>
      <vt:lpstr>    Cena jednostki obmiarowej</vt:lpstr>
      <vt:lpstr>PRZEPISY ZWIĄZANE</vt:lpstr>
      <vt:lpstr>    Normy</vt:lpstr>
      <vt:lpstr>    Inne dokumenty</vt:lpstr>
    </vt:vector>
  </TitlesOfParts>
  <Company>HP</Company>
  <LinksUpToDate>false</LinksUpToDate>
  <CharactersWithSpaces>23067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malgo</cp:lastModifiedBy>
  <cp:revision>2</cp:revision>
  <cp:lastPrinted>2024-05-21T02:07:00Z</cp:lastPrinted>
  <dcterms:created xsi:type="dcterms:W3CDTF">2024-05-21T02:07:00Z</dcterms:created>
  <dcterms:modified xsi:type="dcterms:W3CDTF">2024-05-21T02:07:00Z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